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F2D4F" w14:textId="66C0151F" w:rsidR="002D4C95" w:rsidRDefault="00127C2A" w:rsidP="005C0194">
      <w:pPr>
        <w:jc w:val="center"/>
        <w:rPr>
          <w:rFonts w:ascii="Calibri Light" w:eastAsia="Times New Roman" w:hAnsi="Calibri Light" w:cs="Calibri Light"/>
          <w:i/>
          <w:sz w:val="26"/>
          <w:szCs w:val="26"/>
        </w:rPr>
      </w:pPr>
      <w:r>
        <w:rPr>
          <w:noProof/>
          <w:color w:val="000000"/>
          <w:sz w:val="24"/>
          <w:szCs w:val="24"/>
          <w:lang w:eastAsia="pl-PL"/>
        </w:rPr>
        <w:drawing>
          <wp:inline distT="0" distB="0" distL="0" distR="0" wp14:anchorId="447DAB3F" wp14:editId="2EDF1BDD">
            <wp:extent cx="5762625" cy="628650"/>
            <wp:effectExtent l="0" t="0" r="9525" b="0"/>
            <wp:docPr id="2" name="Obraz 2" descr="Fundusze Europejskie - Wiedza Edukacja Rozwój, Rzeczpospolita Polska, PARP -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p w14:paraId="2F2C53B9" w14:textId="3339B2BB" w:rsidR="00FD6E59" w:rsidRPr="005C0194" w:rsidRDefault="001732F8" w:rsidP="005C0194">
      <w:pPr>
        <w:pStyle w:val="Nagwek1"/>
        <w:rPr>
          <w:rFonts w:asciiTheme="minorHAnsi" w:eastAsia="Times New Roman" w:hAnsiTheme="minorHAnsi" w:cstheme="minorHAnsi"/>
          <w:i/>
          <w:color w:val="auto"/>
          <w:sz w:val="28"/>
          <w:szCs w:val="28"/>
        </w:rPr>
      </w:pPr>
      <w:r w:rsidRPr="005C0194">
        <w:rPr>
          <w:rFonts w:asciiTheme="minorHAnsi" w:eastAsia="Times New Roman" w:hAnsiTheme="minorHAnsi" w:cstheme="minorHAnsi"/>
          <w:i/>
          <w:color w:val="auto"/>
          <w:sz w:val="28"/>
          <w:szCs w:val="28"/>
        </w:rPr>
        <w:t xml:space="preserve">Załącznik </w:t>
      </w:r>
      <w:r w:rsidR="00DA12DF">
        <w:rPr>
          <w:rFonts w:asciiTheme="minorHAnsi" w:eastAsia="Times New Roman" w:hAnsiTheme="minorHAnsi" w:cstheme="minorHAnsi"/>
          <w:i/>
          <w:color w:val="auto"/>
          <w:sz w:val="28"/>
          <w:szCs w:val="28"/>
        </w:rPr>
        <w:t xml:space="preserve">nr </w:t>
      </w:r>
      <w:r w:rsidRPr="005C0194">
        <w:rPr>
          <w:rFonts w:asciiTheme="minorHAnsi" w:eastAsia="Times New Roman" w:hAnsiTheme="minorHAnsi" w:cstheme="minorHAnsi"/>
          <w:i/>
          <w:color w:val="auto"/>
          <w:sz w:val="28"/>
          <w:szCs w:val="28"/>
        </w:rPr>
        <w:t>8 do Regulaminu konkursu</w:t>
      </w:r>
    </w:p>
    <w:p w14:paraId="05CF2439" w14:textId="1F45C02D" w:rsidR="006B56F6" w:rsidRDefault="000033F0" w:rsidP="005C0194">
      <w:pPr>
        <w:spacing w:before="480"/>
        <w:rPr>
          <w:rFonts w:ascii="Calibri" w:hAnsi="Calibri"/>
          <w:b/>
          <w:sz w:val="28"/>
          <w:szCs w:val="28"/>
        </w:rPr>
      </w:pPr>
      <w:r w:rsidRPr="00FD6E59">
        <w:rPr>
          <w:rFonts w:ascii="Calibri" w:hAnsi="Calibri"/>
          <w:b/>
          <w:sz w:val="28"/>
          <w:szCs w:val="28"/>
        </w:rPr>
        <w:t>Kryteria zatwierdzone przez Komitet Monitorujący PO</w:t>
      </w:r>
      <w:bookmarkStart w:id="0" w:name="_GoBack"/>
      <w:bookmarkEnd w:id="0"/>
      <w:r w:rsidR="00E72E56" w:rsidRPr="00FD6E59">
        <w:rPr>
          <w:rFonts w:ascii="Calibri" w:hAnsi="Calibri"/>
          <w:b/>
          <w:sz w:val="28"/>
          <w:szCs w:val="28"/>
        </w:rPr>
        <w:t xml:space="preserve"> </w:t>
      </w:r>
      <w:r w:rsidRPr="00FD6E59">
        <w:rPr>
          <w:rFonts w:ascii="Calibri" w:hAnsi="Calibri"/>
          <w:b/>
          <w:sz w:val="28"/>
          <w:szCs w:val="28"/>
        </w:rPr>
        <w:t>WER</w:t>
      </w:r>
    </w:p>
    <w:p w14:paraId="1CA7AA0F" w14:textId="22E52B31" w:rsidR="002F7BEC" w:rsidRDefault="00FD6E59" w:rsidP="005C0194">
      <w:pPr>
        <w:pStyle w:val="Akapitzlist"/>
        <w:numPr>
          <w:ilvl w:val="0"/>
          <w:numId w:val="11"/>
        </w:numPr>
        <w:spacing w:after="240" w:line="276" w:lineRule="auto"/>
        <w:rPr>
          <w:rFonts w:asciiTheme="minorHAnsi" w:hAnsiTheme="minorHAnsi" w:cstheme="minorHAnsi"/>
          <w:b/>
          <w:color w:val="000000" w:themeColor="text1"/>
        </w:rPr>
      </w:pPr>
      <w:r w:rsidRPr="00FD6E59">
        <w:rPr>
          <w:rFonts w:asciiTheme="minorHAnsi" w:hAnsiTheme="minorHAnsi" w:cstheme="minorHAnsi"/>
          <w:b/>
          <w:color w:val="000000" w:themeColor="text1"/>
        </w:rPr>
        <w:t xml:space="preserve">KRYTERIA DOSTĘPU </w:t>
      </w:r>
    </w:p>
    <w:p w14:paraId="56D155AD" w14:textId="77777777" w:rsidR="002D4C95" w:rsidRDefault="002D4C95" w:rsidP="005C0194">
      <w:pPr>
        <w:pStyle w:val="Akapitzlist"/>
        <w:spacing w:line="276" w:lineRule="auto"/>
        <w:rPr>
          <w:rFonts w:asciiTheme="minorHAnsi" w:hAnsiTheme="minorHAnsi" w:cstheme="minorHAnsi"/>
          <w:b/>
          <w:color w:val="000000" w:themeColor="text1"/>
        </w:rPr>
      </w:pPr>
    </w:p>
    <w:tbl>
      <w:tblPr>
        <w:tblStyle w:val="Tabela-Siatka"/>
        <w:tblW w:w="14743" w:type="dxa"/>
        <w:tblInd w:w="-431" w:type="dxa"/>
        <w:tblLayout w:type="fixed"/>
        <w:tblLook w:val="04A0" w:firstRow="1" w:lastRow="0" w:firstColumn="1" w:lastColumn="0" w:noHBand="0" w:noVBand="1"/>
      </w:tblPr>
      <w:tblGrid>
        <w:gridCol w:w="568"/>
        <w:gridCol w:w="5103"/>
        <w:gridCol w:w="7088"/>
        <w:gridCol w:w="1984"/>
      </w:tblGrid>
      <w:tr w:rsidR="0022566C" w:rsidRPr="00EE32A7" w14:paraId="01C6A219" w14:textId="77777777" w:rsidTr="00FD6E59">
        <w:trPr>
          <w:tblHeader/>
        </w:trPr>
        <w:tc>
          <w:tcPr>
            <w:tcW w:w="568" w:type="dxa"/>
            <w:shd w:val="clear" w:color="auto" w:fill="C6D9F1" w:themeFill="text2" w:themeFillTint="33"/>
            <w:vAlign w:val="center"/>
          </w:tcPr>
          <w:p w14:paraId="298D10E6" w14:textId="37ACE626" w:rsidR="0022566C" w:rsidRPr="00EE32A7" w:rsidRDefault="0022566C" w:rsidP="005C0194">
            <w:pPr>
              <w:pStyle w:val="Akapitzlist"/>
              <w:spacing w:line="276" w:lineRule="auto"/>
              <w:ind w:left="0"/>
              <w:rPr>
                <w:rFonts w:asciiTheme="minorHAnsi" w:hAnsiTheme="minorHAnsi" w:cstheme="minorHAnsi"/>
                <w:b/>
                <w:sz w:val="22"/>
                <w:szCs w:val="22"/>
              </w:rPr>
            </w:pPr>
            <w:r w:rsidRPr="00EE32A7">
              <w:rPr>
                <w:rFonts w:asciiTheme="minorHAnsi" w:hAnsiTheme="minorHAnsi" w:cstheme="minorHAnsi"/>
                <w:b/>
                <w:sz w:val="22"/>
                <w:szCs w:val="22"/>
              </w:rPr>
              <w:t>Lp.</w:t>
            </w:r>
          </w:p>
        </w:tc>
        <w:tc>
          <w:tcPr>
            <w:tcW w:w="5103" w:type="dxa"/>
            <w:shd w:val="clear" w:color="auto" w:fill="C6D9F1" w:themeFill="text2" w:themeFillTint="33"/>
            <w:vAlign w:val="center"/>
          </w:tcPr>
          <w:p w14:paraId="23CE128F" w14:textId="7F062122" w:rsidR="0022566C" w:rsidRPr="00EE32A7" w:rsidRDefault="0022566C" w:rsidP="005C0194">
            <w:pPr>
              <w:pStyle w:val="Akapitzlist"/>
              <w:spacing w:line="276" w:lineRule="auto"/>
              <w:ind w:left="0"/>
              <w:rPr>
                <w:rFonts w:asciiTheme="minorHAnsi" w:hAnsiTheme="minorHAnsi" w:cstheme="minorHAnsi"/>
                <w:b/>
                <w:i/>
                <w:sz w:val="22"/>
                <w:szCs w:val="22"/>
              </w:rPr>
            </w:pPr>
            <w:r w:rsidRPr="00EE32A7">
              <w:rPr>
                <w:rFonts w:asciiTheme="minorHAnsi" w:hAnsiTheme="minorHAnsi" w:cstheme="minorHAnsi"/>
                <w:b/>
                <w:i/>
                <w:sz w:val="22"/>
                <w:szCs w:val="22"/>
              </w:rPr>
              <w:t>Kryterium</w:t>
            </w:r>
          </w:p>
        </w:tc>
        <w:tc>
          <w:tcPr>
            <w:tcW w:w="7088" w:type="dxa"/>
            <w:shd w:val="clear" w:color="auto" w:fill="C6D9F1" w:themeFill="text2" w:themeFillTint="33"/>
            <w:vAlign w:val="center"/>
          </w:tcPr>
          <w:p w14:paraId="71407F42" w14:textId="7B493426" w:rsidR="006659C2" w:rsidRPr="00EE32A7" w:rsidRDefault="006659C2" w:rsidP="005C0194">
            <w:pPr>
              <w:pStyle w:val="Akapitzlist"/>
              <w:spacing w:line="276" w:lineRule="auto"/>
              <w:ind w:left="0"/>
              <w:rPr>
                <w:rFonts w:asciiTheme="minorHAnsi" w:hAnsiTheme="minorHAnsi" w:cstheme="minorHAnsi"/>
                <w:b/>
                <w:i/>
                <w:sz w:val="22"/>
                <w:szCs w:val="22"/>
              </w:rPr>
            </w:pPr>
            <w:r w:rsidRPr="00EE32A7">
              <w:rPr>
                <w:rFonts w:asciiTheme="minorHAnsi" w:hAnsiTheme="minorHAnsi" w:cstheme="minorHAnsi"/>
                <w:b/>
                <w:i/>
                <w:sz w:val="22"/>
                <w:szCs w:val="22"/>
              </w:rPr>
              <w:t xml:space="preserve">- </w:t>
            </w:r>
            <w:r w:rsidR="009D3B4D" w:rsidRPr="00EE32A7">
              <w:rPr>
                <w:rFonts w:asciiTheme="minorHAnsi" w:hAnsiTheme="minorHAnsi" w:cstheme="minorHAnsi"/>
                <w:b/>
                <w:i/>
                <w:sz w:val="22"/>
                <w:szCs w:val="22"/>
              </w:rPr>
              <w:t>U</w:t>
            </w:r>
            <w:r w:rsidR="0022566C" w:rsidRPr="00EE32A7">
              <w:rPr>
                <w:rFonts w:asciiTheme="minorHAnsi" w:hAnsiTheme="minorHAnsi" w:cstheme="minorHAnsi"/>
                <w:b/>
                <w:i/>
                <w:sz w:val="22"/>
                <w:szCs w:val="22"/>
              </w:rPr>
              <w:t>zasadnienie</w:t>
            </w:r>
            <w:r w:rsidRPr="00EE32A7">
              <w:rPr>
                <w:rFonts w:asciiTheme="minorHAnsi" w:hAnsiTheme="minorHAnsi" w:cstheme="minorHAnsi"/>
                <w:b/>
                <w:i/>
                <w:sz w:val="22"/>
                <w:szCs w:val="22"/>
              </w:rPr>
              <w:t xml:space="preserve"> kryterium;</w:t>
            </w:r>
          </w:p>
          <w:p w14:paraId="2113B35C" w14:textId="5AA8E1E7" w:rsidR="006659C2" w:rsidRPr="00EE32A7" w:rsidRDefault="006659C2" w:rsidP="005C0194">
            <w:pPr>
              <w:pStyle w:val="Akapitzlist"/>
              <w:spacing w:line="276" w:lineRule="auto"/>
              <w:ind w:left="0"/>
              <w:rPr>
                <w:rFonts w:asciiTheme="minorHAnsi" w:hAnsiTheme="minorHAnsi" w:cstheme="minorHAnsi"/>
                <w:b/>
                <w:i/>
                <w:sz w:val="22"/>
                <w:szCs w:val="22"/>
              </w:rPr>
            </w:pPr>
            <w:r w:rsidRPr="00EE32A7">
              <w:rPr>
                <w:rFonts w:asciiTheme="minorHAnsi" w:hAnsiTheme="minorHAnsi" w:cstheme="minorHAnsi"/>
                <w:b/>
                <w:i/>
                <w:sz w:val="22"/>
                <w:szCs w:val="22"/>
              </w:rPr>
              <w:t xml:space="preserve">- </w:t>
            </w:r>
            <w:r w:rsidR="009D3B4D" w:rsidRPr="00EE32A7">
              <w:rPr>
                <w:rFonts w:asciiTheme="minorHAnsi" w:hAnsiTheme="minorHAnsi" w:cstheme="minorHAnsi"/>
                <w:b/>
                <w:i/>
                <w:sz w:val="22"/>
                <w:szCs w:val="22"/>
              </w:rPr>
              <w:t>S</w:t>
            </w:r>
            <w:r w:rsidR="0022566C" w:rsidRPr="00EE32A7">
              <w:rPr>
                <w:rFonts w:asciiTheme="minorHAnsi" w:hAnsiTheme="minorHAnsi" w:cstheme="minorHAnsi"/>
                <w:b/>
                <w:i/>
                <w:sz w:val="22"/>
                <w:szCs w:val="22"/>
              </w:rPr>
              <w:t xml:space="preserve">posób oceny </w:t>
            </w:r>
            <w:r w:rsidRPr="00EE32A7">
              <w:rPr>
                <w:rFonts w:asciiTheme="minorHAnsi" w:hAnsiTheme="minorHAnsi" w:cstheme="minorHAnsi"/>
                <w:b/>
                <w:i/>
                <w:sz w:val="22"/>
                <w:szCs w:val="22"/>
              </w:rPr>
              <w:t>kryterium;</w:t>
            </w:r>
          </w:p>
          <w:p w14:paraId="33AACAF9" w14:textId="02E2D8B7" w:rsidR="0022566C" w:rsidRPr="00EE32A7" w:rsidRDefault="006659C2" w:rsidP="005C0194">
            <w:pPr>
              <w:pStyle w:val="Akapitzlist"/>
              <w:spacing w:line="276" w:lineRule="auto"/>
              <w:ind w:left="0"/>
              <w:rPr>
                <w:rFonts w:asciiTheme="minorHAnsi" w:hAnsiTheme="minorHAnsi" w:cstheme="minorHAnsi"/>
                <w:b/>
                <w:i/>
                <w:sz w:val="22"/>
                <w:szCs w:val="22"/>
              </w:rPr>
            </w:pPr>
            <w:r w:rsidRPr="00EE32A7">
              <w:rPr>
                <w:rFonts w:asciiTheme="minorHAnsi" w:hAnsiTheme="minorHAnsi" w:cstheme="minorHAnsi"/>
                <w:b/>
                <w:i/>
                <w:sz w:val="22"/>
                <w:szCs w:val="22"/>
              </w:rPr>
              <w:t xml:space="preserve">- </w:t>
            </w:r>
            <w:r w:rsidR="009D3B4D" w:rsidRPr="00EE32A7">
              <w:rPr>
                <w:rFonts w:asciiTheme="minorHAnsi" w:hAnsiTheme="minorHAnsi" w:cstheme="minorHAnsi"/>
                <w:b/>
                <w:i/>
                <w:sz w:val="22"/>
                <w:szCs w:val="22"/>
              </w:rPr>
              <w:t>S</w:t>
            </w:r>
            <w:r w:rsidRPr="00EE32A7">
              <w:rPr>
                <w:rFonts w:asciiTheme="minorHAnsi" w:hAnsiTheme="minorHAnsi" w:cstheme="minorHAnsi"/>
                <w:b/>
                <w:i/>
                <w:sz w:val="22"/>
                <w:szCs w:val="22"/>
              </w:rPr>
              <w:t>zczegółowe zapisy dot. uzupełniania/poprawiania kryteriów dostępu.</w:t>
            </w:r>
          </w:p>
        </w:tc>
        <w:tc>
          <w:tcPr>
            <w:tcW w:w="1984" w:type="dxa"/>
            <w:shd w:val="clear" w:color="auto" w:fill="C6D9F1" w:themeFill="text2" w:themeFillTint="33"/>
            <w:vAlign w:val="center"/>
          </w:tcPr>
          <w:p w14:paraId="6A8703AC" w14:textId="77777777" w:rsidR="00CE6C85" w:rsidRPr="00EE32A7" w:rsidRDefault="0022566C" w:rsidP="005C0194">
            <w:pPr>
              <w:pStyle w:val="Akapitzlist"/>
              <w:spacing w:line="276" w:lineRule="auto"/>
              <w:ind w:left="0"/>
              <w:rPr>
                <w:rFonts w:asciiTheme="minorHAnsi" w:hAnsiTheme="minorHAnsi" w:cstheme="minorHAnsi"/>
                <w:b/>
                <w:i/>
                <w:sz w:val="22"/>
                <w:szCs w:val="22"/>
              </w:rPr>
            </w:pPr>
            <w:r w:rsidRPr="00EE32A7">
              <w:rPr>
                <w:rFonts w:asciiTheme="minorHAnsi" w:hAnsiTheme="minorHAnsi" w:cstheme="minorHAnsi"/>
                <w:b/>
                <w:i/>
                <w:sz w:val="22"/>
                <w:szCs w:val="22"/>
              </w:rPr>
              <w:t xml:space="preserve">Możliwość </w:t>
            </w:r>
            <w:r w:rsidR="00CE6C85" w:rsidRPr="00EE32A7">
              <w:rPr>
                <w:rFonts w:asciiTheme="minorHAnsi" w:hAnsiTheme="minorHAnsi" w:cstheme="minorHAnsi"/>
                <w:b/>
                <w:i/>
                <w:sz w:val="22"/>
                <w:szCs w:val="22"/>
              </w:rPr>
              <w:t>jednorazowego uzupełnienia/</w:t>
            </w:r>
          </w:p>
          <w:p w14:paraId="4883C26D" w14:textId="5F2F0517" w:rsidR="0022566C" w:rsidRPr="00EE32A7" w:rsidRDefault="0022566C" w:rsidP="005C0194">
            <w:pPr>
              <w:pStyle w:val="Akapitzlist"/>
              <w:spacing w:line="276" w:lineRule="auto"/>
              <w:ind w:left="0"/>
              <w:rPr>
                <w:rFonts w:asciiTheme="minorHAnsi" w:hAnsiTheme="minorHAnsi" w:cstheme="minorHAnsi"/>
                <w:b/>
                <w:i/>
                <w:sz w:val="22"/>
                <w:szCs w:val="22"/>
              </w:rPr>
            </w:pPr>
            <w:r w:rsidRPr="00EE32A7">
              <w:rPr>
                <w:rFonts w:asciiTheme="minorHAnsi" w:hAnsiTheme="minorHAnsi" w:cstheme="minorHAnsi"/>
                <w:b/>
                <w:i/>
                <w:sz w:val="22"/>
                <w:szCs w:val="22"/>
              </w:rPr>
              <w:t>poprawienia wniosku</w:t>
            </w:r>
            <w:r w:rsidR="00CE6C85" w:rsidRPr="00EE32A7">
              <w:rPr>
                <w:rFonts w:asciiTheme="minorHAnsi" w:hAnsiTheme="minorHAnsi" w:cstheme="minorHAnsi"/>
                <w:b/>
                <w:i/>
                <w:sz w:val="22"/>
                <w:szCs w:val="22"/>
              </w:rPr>
              <w:t xml:space="preserve"> w trakcie oceny</w:t>
            </w:r>
            <w:r w:rsidR="0046149F">
              <w:rPr>
                <w:rFonts w:asciiTheme="minorHAnsi" w:hAnsiTheme="minorHAnsi" w:cstheme="minorHAnsi"/>
                <w:b/>
                <w:i/>
                <w:sz w:val="22"/>
                <w:szCs w:val="22"/>
              </w:rPr>
              <w:t xml:space="preserve"> </w:t>
            </w:r>
            <w:r w:rsidRPr="00EE32A7">
              <w:rPr>
                <w:rStyle w:val="Odwoanieprzypisudolnego"/>
                <w:rFonts w:asciiTheme="minorHAnsi" w:hAnsiTheme="minorHAnsi" w:cstheme="minorHAnsi"/>
                <w:b/>
                <w:i/>
                <w:sz w:val="22"/>
                <w:szCs w:val="22"/>
              </w:rPr>
              <w:footnoteReference w:id="1"/>
            </w:r>
          </w:p>
        </w:tc>
      </w:tr>
      <w:tr w:rsidR="0009519C" w:rsidRPr="00D43726" w14:paraId="7FCF4AC1" w14:textId="77777777" w:rsidTr="00CE1A7A">
        <w:tc>
          <w:tcPr>
            <w:tcW w:w="568" w:type="dxa"/>
            <w:vAlign w:val="center"/>
          </w:tcPr>
          <w:p w14:paraId="148E6A78" w14:textId="70AC92AB" w:rsidR="0009519C" w:rsidRPr="00D43726" w:rsidRDefault="0009519C" w:rsidP="005C0194">
            <w:pPr>
              <w:pStyle w:val="Akapitzlist"/>
              <w:spacing w:line="276" w:lineRule="auto"/>
              <w:ind w:left="0"/>
              <w:rPr>
                <w:rFonts w:asciiTheme="minorHAnsi" w:hAnsiTheme="minorHAnsi" w:cstheme="minorHAnsi"/>
              </w:rPr>
            </w:pPr>
            <w:r>
              <w:rPr>
                <w:rFonts w:asciiTheme="minorHAnsi" w:hAnsiTheme="minorHAnsi" w:cstheme="minorHAnsi"/>
              </w:rPr>
              <w:t>1.</w:t>
            </w:r>
          </w:p>
        </w:tc>
        <w:tc>
          <w:tcPr>
            <w:tcW w:w="5103" w:type="dxa"/>
            <w:vAlign w:val="center"/>
          </w:tcPr>
          <w:p w14:paraId="2EECF529" w14:textId="21EFF2EE" w:rsidR="00F136AF" w:rsidRP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 xml:space="preserve">W ogólnopolskim projekcie wsparcie udzielane przedsiębiorcom lub ich pracownikom polega na: </w:t>
            </w:r>
          </w:p>
          <w:p w14:paraId="5385FB63" w14:textId="77777777" w:rsidR="00F136AF" w:rsidRP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 xml:space="preserve">1) refundacji wydatków dotyczących analizy potrzeb rozwojowych MMŚP w zakresie cyfryzacji, w tym analizy potrzeb kompetencyjnych, o ile przedsiębiorstwo nie dysponuje taką analizą. </w:t>
            </w:r>
          </w:p>
          <w:p w14:paraId="5609E878" w14:textId="759F0092" w:rsid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 xml:space="preserve">2) refundacji wydatków dotyczących usług rozwojowych dla kadry menadżerskiej lub pracowników MMŚP przewidzianych do objęcia stanowiska kierowniczego, których potrzeba wynika z analizy z punktu 1 i które dotyczą nabycia lub podniesienia kompetencji zgodnych z opisem kompetencji menadżerskich w zakresie cyfryzacji, stanowiącym załącznik do Regulaminu konkursu. </w:t>
            </w:r>
          </w:p>
          <w:p w14:paraId="6FE5E669" w14:textId="77777777" w:rsidR="00F136AF" w:rsidRPr="00F136AF" w:rsidRDefault="00F136AF" w:rsidP="005C0194">
            <w:pPr>
              <w:pStyle w:val="Akapitzlist"/>
              <w:spacing w:line="276" w:lineRule="auto"/>
              <w:ind w:left="0"/>
              <w:rPr>
                <w:rFonts w:asciiTheme="minorHAnsi" w:hAnsiTheme="minorHAnsi" w:cstheme="minorHAnsi"/>
              </w:rPr>
            </w:pPr>
          </w:p>
          <w:p w14:paraId="36974C58" w14:textId="552825D3" w:rsidR="0009519C" w:rsidRPr="00D43726"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Wybór usługodawców usług rozwojowych, o których mowa w punktach 1) i 2) następuje za pośrednictwem Bazy Usług Rozwojowych przy technicznym wsparciu wnioskodawcy lub partnera (o ile występuje). Wykonawcami usług nie mogą być wnioskodawca lub partner (o ile występuje).</w:t>
            </w:r>
          </w:p>
        </w:tc>
        <w:tc>
          <w:tcPr>
            <w:tcW w:w="7088" w:type="dxa"/>
            <w:vAlign w:val="center"/>
          </w:tcPr>
          <w:p w14:paraId="47BEB59E" w14:textId="77777777" w:rsidR="0009519C"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Dotychczasowe doświadczenie w realizacji projektów mających na celu podnoszenie kompetencji osób dorosłych w miejscu pracy wskazuje, że projekty edukacyjne są najbardziej efektywne wtedy, gdy ich rezultaty mogą zostać spożytkowane bezpośrednio po zakończeniu usługi. Aby temu sprostać, usługa rozwojowa musi być adekwatna do zidentyfikowanych luk kompetencyjnych pracownika/przedsiębiorcy i osadzona w kontekście rozwoju przedsiębiorstwa i danego miejsca pracy. Z tego względu usługę edukacyjną powinna poprzedzać analiza potrzeb przedsiębiorcy i kadry menadżerskiej lub osób przewidzianych do objęcia stanowiska kierowniczego. Analiza potrzeb rozwojowych MMŚP musi spełniać standardy określone przez IOK w Regulaminie konkursu. Jeśli przedsiębiorca na etapie aplikowania o środki będzie posiadać analizę, ale nie będzie ona spełniała</w:t>
            </w:r>
            <w:r>
              <w:t xml:space="preserve"> </w:t>
            </w:r>
            <w:r w:rsidRPr="00F136AF">
              <w:rPr>
                <w:rFonts w:asciiTheme="minorHAnsi" w:hAnsiTheme="minorHAnsi" w:cstheme="minorHAnsi"/>
              </w:rPr>
              <w:t>warunków IOK, to konieczne będzie jej uzupełnienie lub przeprowadzenie na nowo.</w:t>
            </w:r>
          </w:p>
          <w:p w14:paraId="58A122F0" w14:textId="77777777" w:rsidR="00F136AF" w:rsidRDefault="00F136AF" w:rsidP="005C0194">
            <w:pPr>
              <w:pStyle w:val="Akapitzlist"/>
              <w:spacing w:line="276" w:lineRule="auto"/>
              <w:ind w:left="0"/>
              <w:rPr>
                <w:rFonts w:asciiTheme="minorHAnsi" w:hAnsiTheme="minorHAnsi" w:cstheme="minorHAnsi"/>
              </w:rPr>
            </w:pPr>
          </w:p>
          <w:p w14:paraId="0164F8D5" w14:textId="77777777" w:rsid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Refundowane w ramach projektu usługi rozwojowe będą prowadziły do nabycia ko</w:t>
            </w:r>
            <w:r>
              <w:rPr>
                <w:rFonts w:asciiTheme="minorHAnsi" w:hAnsiTheme="minorHAnsi" w:cstheme="minorHAnsi"/>
              </w:rPr>
              <w:t xml:space="preserve">mpetencji określonych w opisie </w:t>
            </w:r>
            <w:r w:rsidRPr="00F136AF">
              <w:rPr>
                <w:rFonts w:asciiTheme="minorHAnsi" w:hAnsiTheme="minorHAnsi" w:cstheme="minorHAnsi"/>
              </w:rPr>
              <w:t xml:space="preserve">kompetencji menadżerskich w zakresie cyfryzacji, stanowiącym załącznik do Regulaminu konkursu, w którym wskazane będę efekty uczenia się w odniesieniu do danej kompetencji.  </w:t>
            </w:r>
          </w:p>
          <w:p w14:paraId="36337607" w14:textId="77777777" w:rsidR="00F136AF" w:rsidRDefault="00F136AF" w:rsidP="005C0194">
            <w:pPr>
              <w:pStyle w:val="Akapitzlist"/>
              <w:spacing w:line="276" w:lineRule="auto"/>
              <w:ind w:left="0"/>
              <w:rPr>
                <w:rFonts w:asciiTheme="minorHAnsi" w:hAnsiTheme="minorHAnsi" w:cstheme="minorHAnsi"/>
              </w:rPr>
            </w:pPr>
          </w:p>
          <w:p w14:paraId="7EAFBA48" w14:textId="39C62AAB" w:rsid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 xml:space="preserve">Pod pojęciem </w:t>
            </w:r>
            <w:r w:rsidRPr="00F136AF">
              <w:rPr>
                <w:rFonts w:asciiTheme="minorHAnsi" w:hAnsiTheme="minorHAnsi" w:cstheme="minorHAnsi"/>
                <w:b/>
              </w:rPr>
              <w:t xml:space="preserve">cyfryzacji </w:t>
            </w:r>
            <w:r w:rsidRPr="00F136AF">
              <w:rPr>
                <w:rFonts w:asciiTheme="minorHAnsi" w:hAnsiTheme="minorHAnsi" w:cstheme="minorHAnsi"/>
              </w:rPr>
              <w:t>rozumie się wykorzystanie technologii cyfrowych w różnych zakresach działalności przedsiębiorstwa, które umożliwia zmiany w efektywności operacji biznesowych oraz w funkcjonowaniu modeli biznesowych. Podstawą cyfryzacji działań firmy jest gromadzenie prawidłowych danych, skuteczna analiza i zarządzanie nimi.</w:t>
            </w:r>
          </w:p>
          <w:p w14:paraId="025FC2DC" w14:textId="77777777" w:rsidR="00F136AF" w:rsidRDefault="00F136AF" w:rsidP="005C0194">
            <w:pPr>
              <w:pStyle w:val="Akapitzlist"/>
              <w:spacing w:line="276" w:lineRule="auto"/>
              <w:ind w:left="0"/>
              <w:rPr>
                <w:rFonts w:asciiTheme="minorHAnsi" w:hAnsiTheme="minorHAnsi" w:cstheme="minorHAnsi"/>
              </w:rPr>
            </w:pPr>
          </w:p>
          <w:p w14:paraId="2B841CF8" w14:textId="5BF49358" w:rsid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 xml:space="preserve">Wybór wykonawcy usług za pośrednictwem Bazy Usług Rozwojowych zapewni podejście popytowe do dystrybucji środków projektu. Ograniczenie dotyczące braku możliwości świadczenia usług przez Wnioskodawcę lub partnera (o ile występuje) ma na celu wyeliminowanie możliwego konfliktu interesów pomiędzy wnioskodawcą albo partnerami a usługodawcami. </w:t>
            </w:r>
          </w:p>
          <w:p w14:paraId="50C58B7B" w14:textId="77777777" w:rsidR="00F136AF" w:rsidRPr="00F136AF" w:rsidRDefault="00F136AF" w:rsidP="005C0194">
            <w:pPr>
              <w:pStyle w:val="Akapitzlist"/>
              <w:spacing w:line="276" w:lineRule="auto"/>
              <w:ind w:left="0"/>
              <w:rPr>
                <w:rFonts w:asciiTheme="minorHAnsi" w:hAnsiTheme="minorHAnsi" w:cstheme="minorHAnsi"/>
              </w:rPr>
            </w:pPr>
          </w:p>
          <w:p w14:paraId="6558A222" w14:textId="065810FE" w:rsidR="00F136AF" w:rsidRPr="0009519C"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 xml:space="preserve">Kryterium będzie oceniane na podstawie treści wniosku o dofinansowanie projektu.  </w:t>
            </w:r>
          </w:p>
        </w:tc>
        <w:tc>
          <w:tcPr>
            <w:tcW w:w="1984" w:type="dxa"/>
            <w:vAlign w:val="center"/>
          </w:tcPr>
          <w:p w14:paraId="1450EE36" w14:textId="7B346ADF" w:rsidR="0009519C" w:rsidRPr="00F136AF" w:rsidRDefault="0009519C" w:rsidP="005C0194">
            <w:pPr>
              <w:pStyle w:val="Akapitzlist"/>
              <w:spacing w:line="276" w:lineRule="auto"/>
              <w:ind w:left="0"/>
              <w:rPr>
                <w:rFonts w:asciiTheme="minorHAnsi" w:hAnsiTheme="minorHAnsi" w:cstheme="minorHAnsi"/>
              </w:rPr>
            </w:pPr>
            <w:r w:rsidRPr="00F136AF">
              <w:rPr>
                <w:rFonts w:asciiTheme="minorHAnsi" w:hAnsiTheme="minorHAnsi" w:cstheme="minorHAnsi"/>
              </w:rPr>
              <w:t>TAK</w:t>
            </w:r>
          </w:p>
        </w:tc>
      </w:tr>
      <w:tr w:rsidR="0009519C" w:rsidRPr="00D43726" w14:paraId="5FA7334B" w14:textId="77777777" w:rsidTr="00CE1A7A">
        <w:tc>
          <w:tcPr>
            <w:tcW w:w="568" w:type="dxa"/>
            <w:vAlign w:val="center"/>
          </w:tcPr>
          <w:p w14:paraId="3C454C09" w14:textId="51E8F3C9" w:rsidR="0009519C" w:rsidRPr="00D43726" w:rsidRDefault="0009519C" w:rsidP="005C0194">
            <w:pPr>
              <w:pStyle w:val="Akapitzlist"/>
              <w:spacing w:line="276" w:lineRule="auto"/>
              <w:ind w:left="0"/>
              <w:rPr>
                <w:rFonts w:asciiTheme="minorHAnsi" w:hAnsiTheme="minorHAnsi" w:cstheme="minorHAnsi"/>
              </w:rPr>
            </w:pPr>
            <w:r w:rsidRPr="00D43726">
              <w:rPr>
                <w:rFonts w:asciiTheme="minorHAnsi" w:hAnsiTheme="minorHAnsi" w:cstheme="minorHAnsi"/>
              </w:rPr>
              <w:t>2.</w:t>
            </w:r>
          </w:p>
        </w:tc>
        <w:tc>
          <w:tcPr>
            <w:tcW w:w="5103" w:type="dxa"/>
            <w:vAlign w:val="center"/>
          </w:tcPr>
          <w:p w14:paraId="4982BC87" w14:textId="59BCF6CF" w:rsidR="0009519C" w:rsidRPr="00E14E54"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Projekt rozpoczyna się nie później niż 1 stycznia 2022 r. i kończy się nie później niż 30 września  2023 r.</w:t>
            </w:r>
          </w:p>
        </w:tc>
        <w:tc>
          <w:tcPr>
            <w:tcW w:w="7088" w:type="dxa"/>
            <w:vAlign w:val="center"/>
          </w:tcPr>
          <w:p w14:paraId="7E414A16" w14:textId="77777777" w:rsidR="00F136AF" w:rsidRPr="00F136AF" w:rsidRDefault="00F136AF" w:rsidP="005C0194">
            <w:pPr>
              <w:rPr>
                <w:rFonts w:cstheme="minorHAnsi"/>
              </w:rPr>
            </w:pPr>
            <w:r w:rsidRPr="00F136AF">
              <w:rPr>
                <w:rFonts w:cstheme="minorHAnsi"/>
              </w:rPr>
              <w:t>Kryterium to ma zapewnić możliwość sprawnej realizacji projektów.</w:t>
            </w:r>
          </w:p>
          <w:p w14:paraId="29C43730" w14:textId="77777777" w:rsidR="00F136AF" w:rsidRPr="00F136AF" w:rsidRDefault="00F136AF" w:rsidP="005C0194">
            <w:pPr>
              <w:pStyle w:val="Akapitzlist"/>
              <w:rPr>
                <w:rFonts w:asciiTheme="minorHAnsi" w:hAnsiTheme="minorHAnsi" w:cstheme="minorHAnsi"/>
              </w:rPr>
            </w:pPr>
          </w:p>
          <w:p w14:paraId="6785F664" w14:textId="77777777" w:rsidR="00F136AF" w:rsidRPr="00F136AF" w:rsidRDefault="00F136AF" w:rsidP="005C0194">
            <w:pPr>
              <w:rPr>
                <w:rFonts w:cstheme="minorHAnsi"/>
              </w:rPr>
            </w:pPr>
            <w:r w:rsidRPr="00F136AF">
              <w:rPr>
                <w:rFonts w:cstheme="minorHAnsi"/>
              </w:rPr>
              <w:t xml:space="preserve">Ograniczenie terminu zakończenia projektów pozwoli na ich terminowe rozliczenie. </w:t>
            </w:r>
          </w:p>
          <w:p w14:paraId="194A3EE2" w14:textId="77777777" w:rsidR="00F136AF" w:rsidRPr="00F136AF" w:rsidRDefault="00F136AF" w:rsidP="005C0194">
            <w:pPr>
              <w:pStyle w:val="Akapitzlist"/>
              <w:rPr>
                <w:rFonts w:asciiTheme="minorHAnsi" w:hAnsiTheme="minorHAnsi" w:cstheme="minorHAnsi"/>
              </w:rPr>
            </w:pPr>
          </w:p>
          <w:p w14:paraId="505B34CC" w14:textId="77777777" w:rsidR="00F136AF" w:rsidRPr="00F136AF" w:rsidRDefault="00F136AF" w:rsidP="005C0194">
            <w:pPr>
              <w:rPr>
                <w:rFonts w:cstheme="minorHAnsi"/>
              </w:rPr>
            </w:pPr>
            <w:r w:rsidRPr="00F136AF">
              <w:rPr>
                <w:rFonts w:cstheme="minorHAnsi"/>
              </w:rPr>
              <w:t xml:space="preserve">Kryterium będzie oceniane na podstawie treści wniosku o dofinansowanie projektu.  </w:t>
            </w:r>
          </w:p>
          <w:p w14:paraId="56056800" w14:textId="77777777" w:rsidR="00F136AF" w:rsidRPr="00F136AF" w:rsidRDefault="00F136AF" w:rsidP="005C0194">
            <w:pPr>
              <w:pStyle w:val="Akapitzlist"/>
              <w:rPr>
                <w:rFonts w:asciiTheme="minorHAnsi" w:hAnsiTheme="minorHAnsi" w:cstheme="minorHAnsi"/>
              </w:rPr>
            </w:pPr>
          </w:p>
          <w:p w14:paraId="3D8787E0" w14:textId="72019089" w:rsidR="0009519C"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Na etapie kontraktowania IOK dopuszcza możliwość przesunięcia terminu rozpoczęcia realizacji projektów poza limit określony w kryterium.</w:t>
            </w:r>
          </w:p>
          <w:p w14:paraId="4112CD68" w14:textId="77777777" w:rsidR="00F136AF" w:rsidRDefault="00F136AF" w:rsidP="005C0194">
            <w:pPr>
              <w:pStyle w:val="Akapitzlist"/>
              <w:spacing w:line="276" w:lineRule="auto"/>
              <w:ind w:left="0"/>
              <w:rPr>
                <w:rFonts w:asciiTheme="minorHAnsi" w:hAnsiTheme="minorHAnsi" w:cstheme="minorHAnsi"/>
              </w:rPr>
            </w:pPr>
          </w:p>
          <w:p w14:paraId="37876DEC" w14:textId="4ED12BE1" w:rsidR="00F136AF" w:rsidRPr="00E14E54"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Na etapie wdrażania projektów, w szczególnie uzasadnionych przypadkach, na wniosek Beneficjenta i za zgodą IP będzie istniała możliwość zmiany okresu realizacji projektu poza limit określony w kryterium</w:t>
            </w:r>
            <w:r>
              <w:rPr>
                <w:rFonts w:asciiTheme="minorHAnsi" w:hAnsiTheme="minorHAnsi" w:cstheme="minorHAnsi"/>
              </w:rPr>
              <w:t>, jeśli w opinii IP taka zmiana</w:t>
            </w:r>
            <w:r w:rsidRPr="00F136AF">
              <w:rPr>
                <w:rFonts w:asciiTheme="minorHAnsi" w:hAnsiTheme="minorHAnsi" w:cstheme="minorHAnsi"/>
              </w:rPr>
              <w:t xml:space="preserve"> przyczyni się do osiągnięcia założeń projektu i umożliwi rozliczenie projektu w wymaganym przez IP terminie.</w:t>
            </w:r>
          </w:p>
        </w:tc>
        <w:tc>
          <w:tcPr>
            <w:tcW w:w="1984" w:type="dxa"/>
            <w:vAlign w:val="center"/>
          </w:tcPr>
          <w:p w14:paraId="0820714C" w14:textId="0A3B0646" w:rsidR="0009519C" w:rsidRPr="00F136AF" w:rsidRDefault="0009519C" w:rsidP="005C0194">
            <w:pPr>
              <w:pStyle w:val="Akapitzlist"/>
              <w:spacing w:line="276" w:lineRule="auto"/>
              <w:ind w:left="0"/>
              <w:rPr>
                <w:rFonts w:asciiTheme="minorHAnsi" w:hAnsiTheme="minorHAnsi" w:cstheme="minorHAnsi"/>
              </w:rPr>
            </w:pPr>
            <w:r w:rsidRPr="00F136AF">
              <w:rPr>
                <w:rFonts w:asciiTheme="minorHAnsi" w:hAnsiTheme="minorHAnsi" w:cstheme="minorHAnsi"/>
              </w:rPr>
              <w:t>TAK</w:t>
            </w:r>
          </w:p>
        </w:tc>
      </w:tr>
      <w:tr w:rsidR="0009519C" w:rsidRPr="00D43726" w14:paraId="3159CDC0" w14:textId="77777777" w:rsidTr="00CE1A7A">
        <w:tc>
          <w:tcPr>
            <w:tcW w:w="568" w:type="dxa"/>
            <w:vAlign w:val="center"/>
          </w:tcPr>
          <w:p w14:paraId="2C67B76A" w14:textId="734C51BF" w:rsidR="0009519C" w:rsidRPr="009B2B1E" w:rsidRDefault="0009519C" w:rsidP="005C0194">
            <w:pPr>
              <w:tabs>
                <w:tab w:val="left" w:pos="2475"/>
              </w:tabs>
              <w:spacing w:line="276" w:lineRule="auto"/>
              <w:rPr>
                <w:rFonts w:eastAsia="Times New Roman" w:cstheme="minorHAnsi"/>
                <w:sz w:val="24"/>
                <w:szCs w:val="24"/>
              </w:rPr>
            </w:pPr>
            <w:r w:rsidRPr="009B2B1E">
              <w:rPr>
                <w:rFonts w:eastAsia="Times New Roman" w:cstheme="minorHAnsi"/>
                <w:sz w:val="24"/>
                <w:szCs w:val="24"/>
              </w:rPr>
              <w:t>3.</w:t>
            </w:r>
          </w:p>
        </w:tc>
        <w:tc>
          <w:tcPr>
            <w:tcW w:w="5103" w:type="dxa"/>
            <w:vAlign w:val="center"/>
          </w:tcPr>
          <w:p w14:paraId="21F417F4" w14:textId="31E63844" w:rsidR="0009519C" w:rsidRPr="0016175A" w:rsidRDefault="00F136AF" w:rsidP="005C0194">
            <w:pPr>
              <w:spacing w:line="276" w:lineRule="auto"/>
              <w:rPr>
                <w:rFonts w:eastAsia="Times New Roman" w:cstheme="minorHAnsi"/>
                <w:sz w:val="24"/>
                <w:szCs w:val="24"/>
              </w:rPr>
            </w:pPr>
            <w:r w:rsidRPr="00F136AF">
              <w:rPr>
                <w:rFonts w:eastAsia="Times New Roman" w:cstheme="minorHAnsi"/>
                <w:sz w:val="24"/>
                <w:szCs w:val="24"/>
              </w:rPr>
              <w:t xml:space="preserve">Podmiot może wystąpić nie więcej niż jeden raz jako wnioskodawca i jeden raz jako partner we wnioskach o dofinansowanie projektów złożonych w ramach konkursu.  </w:t>
            </w:r>
          </w:p>
        </w:tc>
        <w:tc>
          <w:tcPr>
            <w:tcW w:w="7088" w:type="dxa"/>
            <w:vAlign w:val="center"/>
          </w:tcPr>
          <w:p w14:paraId="597F93B8" w14:textId="4E4B8401" w:rsidR="0009519C" w:rsidRDefault="00F136AF" w:rsidP="005C0194">
            <w:pPr>
              <w:tabs>
                <w:tab w:val="left" w:pos="2475"/>
              </w:tabs>
              <w:spacing w:line="276" w:lineRule="auto"/>
              <w:rPr>
                <w:rFonts w:eastAsia="Times New Roman" w:cstheme="minorHAnsi"/>
                <w:sz w:val="24"/>
                <w:szCs w:val="24"/>
              </w:rPr>
            </w:pPr>
            <w:r w:rsidRPr="00F136AF">
              <w:rPr>
                <w:rFonts w:eastAsia="Times New Roman" w:cstheme="minorHAnsi"/>
                <w:sz w:val="24"/>
                <w:szCs w:val="24"/>
              </w:rPr>
              <w:t>Ograniczenie ma na celu zwiększenie liczby podmiotów, które będą aplikowały o środki i podniesienie motywacji do składania lepszych jakościowo projektów.</w:t>
            </w:r>
          </w:p>
          <w:p w14:paraId="42140C1B" w14:textId="77777777" w:rsidR="00F136AF" w:rsidRDefault="00F136AF" w:rsidP="005C0194">
            <w:pPr>
              <w:tabs>
                <w:tab w:val="left" w:pos="2475"/>
              </w:tabs>
              <w:spacing w:line="276" w:lineRule="auto"/>
              <w:rPr>
                <w:rFonts w:eastAsia="Times New Roman" w:cstheme="minorHAnsi"/>
                <w:sz w:val="24"/>
                <w:szCs w:val="24"/>
              </w:rPr>
            </w:pPr>
          </w:p>
          <w:p w14:paraId="07F01C64" w14:textId="028120D0" w:rsidR="00F136AF" w:rsidRPr="00F136AF" w:rsidRDefault="00F136AF" w:rsidP="005C0194">
            <w:pPr>
              <w:tabs>
                <w:tab w:val="left" w:pos="2475"/>
              </w:tabs>
              <w:rPr>
                <w:rFonts w:eastAsia="Times New Roman" w:cstheme="minorHAnsi"/>
                <w:sz w:val="24"/>
                <w:szCs w:val="24"/>
              </w:rPr>
            </w:pPr>
            <w:r w:rsidRPr="00F136AF">
              <w:rPr>
                <w:rFonts w:eastAsia="Times New Roman" w:cstheme="minorHAnsi"/>
                <w:sz w:val="24"/>
                <w:szCs w:val="24"/>
              </w:rPr>
              <w:t xml:space="preserve">Kryterium ma również na celu wybór podmiotów, które </w:t>
            </w:r>
            <w:r>
              <w:rPr>
                <w:rFonts w:eastAsia="Times New Roman" w:cstheme="minorHAnsi"/>
                <w:sz w:val="24"/>
                <w:szCs w:val="24"/>
              </w:rPr>
              <w:t xml:space="preserve">będą skupiać się na realizacji </w:t>
            </w:r>
            <w:r w:rsidRPr="00F136AF">
              <w:rPr>
                <w:rFonts w:eastAsia="Times New Roman" w:cstheme="minorHAnsi"/>
                <w:sz w:val="24"/>
                <w:szCs w:val="24"/>
              </w:rPr>
              <w:t xml:space="preserve">maksymalnie dwóch projektów w ramach konkursu.   </w:t>
            </w:r>
          </w:p>
          <w:p w14:paraId="217DCC72" w14:textId="77777777" w:rsidR="00F136AF" w:rsidRPr="00F136AF" w:rsidRDefault="00F136AF" w:rsidP="005C0194">
            <w:pPr>
              <w:tabs>
                <w:tab w:val="left" w:pos="2475"/>
              </w:tabs>
              <w:rPr>
                <w:rFonts w:eastAsia="Times New Roman" w:cstheme="minorHAnsi"/>
                <w:sz w:val="24"/>
                <w:szCs w:val="24"/>
              </w:rPr>
            </w:pPr>
          </w:p>
          <w:p w14:paraId="573ACFE8" w14:textId="7218FA04" w:rsidR="00F136AF" w:rsidRDefault="00F136AF" w:rsidP="005C0194">
            <w:pPr>
              <w:tabs>
                <w:tab w:val="left" w:pos="2475"/>
              </w:tabs>
              <w:spacing w:line="276" w:lineRule="auto"/>
              <w:rPr>
                <w:rFonts w:eastAsia="Times New Roman" w:cstheme="minorHAnsi"/>
                <w:sz w:val="24"/>
                <w:szCs w:val="24"/>
              </w:rPr>
            </w:pPr>
            <w:r w:rsidRPr="00F136AF">
              <w:rPr>
                <w:rFonts w:eastAsia="Times New Roman" w:cstheme="minorHAnsi"/>
                <w:sz w:val="24"/>
                <w:szCs w:val="24"/>
              </w:rPr>
              <w:t xml:space="preserve">Kryterium będzie oceniane na podstawie treści wniosku o dofinansowanie projektu.  </w:t>
            </w:r>
          </w:p>
          <w:p w14:paraId="2C47B931" w14:textId="6F6D82AB" w:rsidR="00F136AF" w:rsidRPr="009B2B1E" w:rsidRDefault="00F136AF" w:rsidP="005C0194">
            <w:pPr>
              <w:tabs>
                <w:tab w:val="left" w:pos="2475"/>
              </w:tabs>
              <w:spacing w:line="276" w:lineRule="auto"/>
              <w:rPr>
                <w:rFonts w:eastAsia="Times New Roman" w:cstheme="minorHAnsi"/>
                <w:sz w:val="24"/>
                <w:szCs w:val="24"/>
              </w:rPr>
            </w:pPr>
          </w:p>
        </w:tc>
        <w:tc>
          <w:tcPr>
            <w:tcW w:w="1984" w:type="dxa"/>
            <w:vAlign w:val="center"/>
          </w:tcPr>
          <w:p w14:paraId="2FA39361" w14:textId="4EE37356" w:rsidR="0009519C" w:rsidRPr="00F136AF" w:rsidRDefault="00F136AF" w:rsidP="005C0194">
            <w:pPr>
              <w:pStyle w:val="Akapitzlist"/>
              <w:spacing w:line="276" w:lineRule="auto"/>
              <w:ind w:left="0"/>
              <w:rPr>
                <w:rFonts w:asciiTheme="minorHAnsi" w:hAnsiTheme="minorHAnsi" w:cstheme="minorHAnsi"/>
                <w:b/>
              </w:rPr>
            </w:pPr>
            <w:r w:rsidRPr="00F136AF">
              <w:rPr>
                <w:rFonts w:asciiTheme="minorHAnsi" w:hAnsiTheme="minorHAnsi" w:cstheme="minorHAnsi"/>
                <w:b/>
              </w:rPr>
              <w:t>NIE</w:t>
            </w:r>
          </w:p>
        </w:tc>
      </w:tr>
      <w:tr w:rsidR="0009519C" w:rsidRPr="00D43726" w14:paraId="302D40BC" w14:textId="77777777" w:rsidTr="00CE1A7A">
        <w:tc>
          <w:tcPr>
            <w:tcW w:w="568" w:type="dxa"/>
            <w:vAlign w:val="center"/>
          </w:tcPr>
          <w:p w14:paraId="378A713D" w14:textId="2FABF7C0" w:rsidR="0009519C" w:rsidRPr="000504B5" w:rsidRDefault="0009519C" w:rsidP="005C0194">
            <w:pPr>
              <w:tabs>
                <w:tab w:val="left" w:pos="299"/>
              </w:tabs>
              <w:spacing w:before="120" w:after="120" w:line="276" w:lineRule="auto"/>
              <w:rPr>
                <w:rFonts w:eastAsia="Times New Roman" w:cstheme="minorHAnsi"/>
                <w:sz w:val="24"/>
                <w:szCs w:val="24"/>
              </w:rPr>
            </w:pPr>
            <w:r w:rsidRPr="000504B5">
              <w:rPr>
                <w:rFonts w:eastAsia="Times New Roman" w:cstheme="minorHAnsi"/>
                <w:sz w:val="24"/>
                <w:szCs w:val="24"/>
              </w:rPr>
              <w:t>4.</w:t>
            </w:r>
          </w:p>
        </w:tc>
        <w:tc>
          <w:tcPr>
            <w:tcW w:w="5103" w:type="dxa"/>
            <w:vAlign w:val="center"/>
          </w:tcPr>
          <w:p w14:paraId="5526FAF7" w14:textId="2E3E398C" w:rsidR="0009519C" w:rsidRPr="00C563C3" w:rsidRDefault="00F136AF" w:rsidP="005C0194">
            <w:pPr>
              <w:tabs>
                <w:tab w:val="left" w:pos="299"/>
              </w:tabs>
              <w:spacing w:before="120" w:after="120" w:line="276" w:lineRule="auto"/>
              <w:rPr>
                <w:rFonts w:eastAsia="Times New Roman" w:cstheme="minorHAnsi"/>
                <w:color w:val="000000"/>
                <w:sz w:val="24"/>
                <w:szCs w:val="24"/>
                <w:lang w:eastAsia="pl-PL"/>
              </w:rPr>
            </w:pPr>
            <w:r w:rsidRPr="00F136AF">
              <w:rPr>
                <w:rFonts w:eastAsia="Times New Roman" w:cstheme="minorHAnsi"/>
                <w:color w:val="000000"/>
                <w:sz w:val="24"/>
                <w:szCs w:val="24"/>
                <w:lang w:eastAsia="pl-PL"/>
              </w:rPr>
              <w:t>Liczba podmiotów wchodzących w skład projektu partnerskiego nie przekracza 5 podmiotów (wnioskodawca + 4 partnerów).</w:t>
            </w:r>
          </w:p>
        </w:tc>
        <w:tc>
          <w:tcPr>
            <w:tcW w:w="7088" w:type="dxa"/>
            <w:vAlign w:val="center"/>
          </w:tcPr>
          <w:p w14:paraId="2DF29A93" w14:textId="704550FC" w:rsidR="00F136AF" w:rsidRDefault="00F136AF" w:rsidP="005C0194">
            <w:pPr>
              <w:rPr>
                <w:rFonts w:eastAsia="Times New Roman" w:cstheme="minorHAnsi"/>
                <w:sz w:val="24"/>
                <w:szCs w:val="24"/>
              </w:rPr>
            </w:pPr>
            <w:r w:rsidRPr="00F136AF">
              <w:rPr>
                <w:rFonts w:eastAsia="Times New Roman" w:cstheme="minorHAnsi"/>
                <w:sz w:val="24"/>
                <w:szCs w:val="24"/>
              </w:rPr>
              <w:t xml:space="preserve">Wymóg ten ma na celu sprawną realizację Projektu. Zbyt duża liczba podmiotów może powodować utrudnienia związane z zarządzaniem i organizacją prac w ramach Projektu. </w:t>
            </w:r>
          </w:p>
          <w:p w14:paraId="2E40D639" w14:textId="77777777" w:rsidR="00F136AF" w:rsidRPr="00F136AF" w:rsidRDefault="00F136AF" w:rsidP="005C0194">
            <w:pPr>
              <w:rPr>
                <w:rFonts w:eastAsia="Times New Roman" w:cstheme="minorHAnsi"/>
                <w:sz w:val="24"/>
                <w:szCs w:val="24"/>
              </w:rPr>
            </w:pPr>
          </w:p>
          <w:p w14:paraId="5376AC59" w14:textId="4F20BE69" w:rsidR="0009519C" w:rsidRPr="009B2B1E" w:rsidRDefault="00F136AF" w:rsidP="005C0194">
            <w:pPr>
              <w:spacing w:line="276" w:lineRule="auto"/>
              <w:rPr>
                <w:rFonts w:eastAsia="Times New Roman" w:cstheme="minorHAnsi"/>
                <w:sz w:val="24"/>
                <w:szCs w:val="24"/>
              </w:rPr>
            </w:pPr>
            <w:r w:rsidRPr="00F136AF">
              <w:rPr>
                <w:rFonts w:eastAsia="Times New Roman" w:cstheme="minorHAnsi"/>
                <w:sz w:val="24"/>
                <w:szCs w:val="24"/>
              </w:rPr>
              <w:t>Kryterium będzie oceniane na podstawie treści wniosku o dofinansowanie projektu</w:t>
            </w:r>
          </w:p>
        </w:tc>
        <w:tc>
          <w:tcPr>
            <w:tcW w:w="1984" w:type="dxa"/>
            <w:vAlign w:val="center"/>
          </w:tcPr>
          <w:p w14:paraId="4FBD6735" w14:textId="5C72C539" w:rsidR="0009519C" w:rsidRPr="00F136AF" w:rsidRDefault="00F136AF" w:rsidP="005C0194">
            <w:pPr>
              <w:pStyle w:val="Akapitzlist"/>
              <w:spacing w:line="276" w:lineRule="auto"/>
              <w:ind w:left="0"/>
              <w:rPr>
                <w:rFonts w:asciiTheme="minorHAnsi" w:hAnsiTheme="minorHAnsi" w:cstheme="minorHAnsi"/>
                <w:b/>
              </w:rPr>
            </w:pPr>
            <w:r w:rsidRPr="00F136AF">
              <w:rPr>
                <w:rFonts w:asciiTheme="minorHAnsi" w:hAnsiTheme="minorHAnsi" w:cstheme="minorHAnsi"/>
                <w:b/>
              </w:rPr>
              <w:t>NIE</w:t>
            </w:r>
          </w:p>
        </w:tc>
      </w:tr>
      <w:tr w:rsidR="0009519C" w:rsidRPr="00D43726" w14:paraId="76461E73" w14:textId="77777777" w:rsidTr="00CE1A7A">
        <w:tc>
          <w:tcPr>
            <w:tcW w:w="568" w:type="dxa"/>
            <w:vAlign w:val="center"/>
          </w:tcPr>
          <w:p w14:paraId="1C798675" w14:textId="31694C97" w:rsidR="0009519C" w:rsidRPr="00D43726" w:rsidRDefault="0009519C" w:rsidP="005C0194">
            <w:pPr>
              <w:pStyle w:val="Akapitzlist"/>
              <w:spacing w:line="276" w:lineRule="auto"/>
              <w:ind w:left="0"/>
              <w:rPr>
                <w:rFonts w:asciiTheme="minorHAnsi" w:hAnsiTheme="minorHAnsi" w:cstheme="minorHAnsi"/>
              </w:rPr>
            </w:pPr>
            <w:r w:rsidRPr="00D43726">
              <w:rPr>
                <w:rFonts w:asciiTheme="minorHAnsi" w:hAnsiTheme="minorHAnsi" w:cstheme="minorHAnsi"/>
              </w:rPr>
              <w:t>5.</w:t>
            </w:r>
          </w:p>
        </w:tc>
        <w:tc>
          <w:tcPr>
            <w:tcW w:w="5103" w:type="dxa"/>
            <w:vAlign w:val="center"/>
          </w:tcPr>
          <w:p w14:paraId="4BBD899B" w14:textId="70572F68" w:rsidR="00F136AF" w:rsidRPr="00F136AF" w:rsidRDefault="00F136AF" w:rsidP="005C0194">
            <w:pPr>
              <w:tabs>
                <w:tab w:val="left" w:pos="299"/>
              </w:tabs>
              <w:spacing w:before="120" w:after="120" w:line="276" w:lineRule="auto"/>
              <w:rPr>
                <w:rFonts w:eastAsia="Times New Roman" w:cstheme="minorHAnsi"/>
                <w:color w:val="000000"/>
                <w:sz w:val="24"/>
                <w:szCs w:val="24"/>
                <w:lang w:eastAsia="pl-PL"/>
              </w:rPr>
            </w:pPr>
            <w:r w:rsidRPr="00F136AF">
              <w:rPr>
                <w:rFonts w:eastAsia="Times New Roman" w:cstheme="minorHAnsi"/>
                <w:color w:val="000000"/>
                <w:sz w:val="24"/>
                <w:szCs w:val="24"/>
                <w:lang w:eastAsia="pl-PL"/>
              </w:rPr>
              <w:t xml:space="preserve">Wnioskodawca łącznie z partnerami (jeśli dotyczy) w ramach projektu obejmie wsparciem nie mniej niż 400 i nie więcej niż 600 pracowników przedsiębiorstw w zakresie zarządzania przedsiębiorstwem, w tym zarządzania zasobami ludzkimi (wskaźnik produktu), przy założeniu, że średni koszt wsparcia w ramach projektu na pracownika przedsiębiorstwa nie może przekroczyć 22 500 zł. </w:t>
            </w:r>
          </w:p>
          <w:p w14:paraId="7D28052D" w14:textId="4154CB96" w:rsidR="0009519C" w:rsidRPr="008B41DB" w:rsidRDefault="00F136AF" w:rsidP="005C0194">
            <w:pPr>
              <w:tabs>
                <w:tab w:val="left" w:pos="299"/>
              </w:tabs>
              <w:spacing w:before="120" w:after="120"/>
              <w:rPr>
                <w:rFonts w:ascii="Calibri" w:hAnsi="Calibri" w:cs="Calibri"/>
              </w:rPr>
            </w:pPr>
            <w:r w:rsidRPr="00F136AF">
              <w:rPr>
                <w:rFonts w:eastAsia="Times New Roman" w:cstheme="minorHAnsi"/>
                <w:color w:val="000000"/>
                <w:sz w:val="24"/>
                <w:szCs w:val="24"/>
                <w:lang w:eastAsia="pl-PL"/>
              </w:rPr>
              <w:t>Wskaźnik rezultatu w projekcie powinien wynosić co najmniej 90% wskaźnika produktu.</w:t>
            </w:r>
          </w:p>
        </w:tc>
        <w:tc>
          <w:tcPr>
            <w:tcW w:w="7088" w:type="dxa"/>
            <w:vAlign w:val="center"/>
          </w:tcPr>
          <w:p w14:paraId="51E6BCD4" w14:textId="77777777" w:rsidR="00F136AF" w:rsidRPr="00F136AF" w:rsidRDefault="00F136AF" w:rsidP="005C0194">
            <w:pPr>
              <w:spacing w:before="120" w:after="120"/>
              <w:rPr>
                <w:rFonts w:eastAsia="Times New Roman" w:cstheme="minorHAnsi"/>
                <w:sz w:val="24"/>
                <w:szCs w:val="24"/>
              </w:rPr>
            </w:pPr>
            <w:r w:rsidRPr="00F136AF">
              <w:rPr>
                <w:rFonts w:eastAsia="Times New Roman" w:cstheme="minorHAnsi"/>
                <w:sz w:val="24"/>
                <w:szCs w:val="24"/>
              </w:rPr>
              <w:t>Kryterium ma na celu efektywne wydatkowanie środków przeznaczonych na realizację działania.</w:t>
            </w:r>
          </w:p>
          <w:p w14:paraId="1DEDD76E" w14:textId="49FC7E6E" w:rsidR="00F136AF" w:rsidRPr="00F136AF" w:rsidRDefault="00F136AF" w:rsidP="005C0194">
            <w:pPr>
              <w:spacing w:before="120" w:after="120"/>
              <w:rPr>
                <w:rFonts w:eastAsia="Times New Roman" w:cstheme="minorHAnsi"/>
                <w:sz w:val="24"/>
                <w:szCs w:val="24"/>
              </w:rPr>
            </w:pPr>
            <w:r w:rsidRPr="00F136AF">
              <w:rPr>
                <w:rFonts w:eastAsia="Times New Roman" w:cstheme="minorHAnsi"/>
                <w:sz w:val="24"/>
                <w:szCs w:val="24"/>
              </w:rPr>
              <w:t>Na etapie kontraktowania, IOK dopuszcza możliwość negocjacji z Wnioskodawcami w zakresie zwiększenia lub zmniejszenia liczby pracowników planowanych do objęcia wsparciem w projektach, przy jednoczesnym spełnieniu kryterium dostępu w celu</w:t>
            </w:r>
            <w:r>
              <w:t xml:space="preserve"> </w:t>
            </w:r>
            <w:r w:rsidRPr="00F136AF">
              <w:rPr>
                <w:rFonts w:eastAsia="Times New Roman" w:cstheme="minorHAnsi"/>
                <w:sz w:val="24"/>
                <w:szCs w:val="24"/>
              </w:rPr>
              <w:t xml:space="preserve">zapewnienia realizacji wskaźników konkursu, np. w sytuacji zwiększenia kwoty alokacji na przedmiotowy konkurs. </w:t>
            </w:r>
          </w:p>
          <w:p w14:paraId="035B84EA" w14:textId="486E493D" w:rsidR="0009519C" w:rsidRPr="00567E8C" w:rsidRDefault="00F136AF" w:rsidP="005C0194">
            <w:pPr>
              <w:spacing w:before="120" w:after="120" w:line="276" w:lineRule="auto"/>
              <w:rPr>
                <w:rFonts w:eastAsia="Times New Roman" w:cstheme="minorHAnsi"/>
                <w:sz w:val="24"/>
                <w:szCs w:val="24"/>
              </w:rPr>
            </w:pPr>
            <w:r w:rsidRPr="00F136AF">
              <w:rPr>
                <w:rFonts w:eastAsia="Times New Roman" w:cstheme="minorHAnsi"/>
                <w:sz w:val="24"/>
                <w:szCs w:val="24"/>
              </w:rPr>
              <w:t xml:space="preserve">Kryterium będzie oceniane na podstawie treści wniosku o dofinansowanie projektu.  </w:t>
            </w:r>
          </w:p>
        </w:tc>
        <w:tc>
          <w:tcPr>
            <w:tcW w:w="1984" w:type="dxa"/>
            <w:vAlign w:val="center"/>
          </w:tcPr>
          <w:p w14:paraId="41DA7EFA" w14:textId="28527140" w:rsidR="0009519C" w:rsidRPr="00F136AF" w:rsidRDefault="00F136AF" w:rsidP="005C0194">
            <w:pPr>
              <w:pStyle w:val="Akapitzlist"/>
              <w:spacing w:line="276" w:lineRule="auto"/>
              <w:ind w:left="0"/>
              <w:rPr>
                <w:rFonts w:asciiTheme="minorHAnsi" w:hAnsiTheme="minorHAnsi" w:cstheme="minorHAnsi"/>
              </w:rPr>
            </w:pPr>
            <w:r w:rsidRPr="00F136AF">
              <w:rPr>
                <w:rFonts w:asciiTheme="minorHAnsi" w:hAnsiTheme="minorHAnsi" w:cstheme="minorHAnsi"/>
              </w:rPr>
              <w:t>TAK</w:t>
            </w:r>
          </w:p>
        </w:tc>
      </w:tr>
      <w:tr w:rsidR="0009519C" w:rsidRPr="00D43726" w14:paraId="76226660" w14:textId="77777777" w:rsidTr="00CE1A7A">
        <w:tc>
          <w:tcPr>
            <w:tcW w:w="568" w:type="dxa"/>
            <w:vAlign w:val="center"/>
          </w:tcPr>
          <w:p w14:paraId="37A6E47E" w14:textId="0E7B75F7" w:rsidR="0009519C" w:rsidRPr="00D43726" w:rsidRDefault="0009519C" w:rsidP="005C0194">
            <w:pPr>
              <w:pStyle w:val="Akapitzlist"/>
              <w:spacing w:line="276" w:lineRule="auto"/>
              <w:ind w:left="0"/>
              <w:rPr>
                <w:rFonts w:asciiTheme="minorHAnsi" w:hAnsiTheme="minorHAnsi" w:cstheme="minorHAnsi"/>
              </w:rPr>
            </w:pPr>
            <w:r w:rsidRPr="00D43726">
              <w:rPr>
                <w:rFonts w:asciiTheme="minorHAnsi" w:hAnsiTheme="minorHAnsi" w:cstheme="minorHAnsi"/>
              </w:rPr>
              <w:t>6.</w:t>
            </w:r>
          </w:p>
        </w:tc>
        <w:tc>
          <w:tcPr>
            <w:tcW w:w="5103" w:type="dxa"/>
            <w:vAlign w:val="center"/>
          </w:tcPr>
          <w:p w14:paraId="55E78FC7" w14:textId="77777777" w:rsidR="007C3C4E" w:rsidRPr="007C3C4E" w:rsidRDefault="007C3C4E" w:rsidP="005C0194">
            <w:pPr>
              <w:tabs>
                <w:tab w:val="left" w:pos="299"/>
              </w:tabs>
              <w:spacing w:before="120" w:after="120"/>
              <w:rPr>
                <w:rFonts w:ascii="Calibri" w:eastAsia="Times New Roman" w:hAnsi="Calibri" w:cs="Calibri"/>
                <w:sz w:val="24"/>
                <w:szCs w:val="24"/>
              </w:rPr>
            </w:pPr>
            <w:r w:rsidRPr="007C3C4E">
              <w:rPr>
                <w:rFonts w:ascii="Calibri" w:eastAsia="Times New Roman" w:hAnsi="Calibri" w:cs="Calibri"/>
                <w:sz w:val="24"/>
                <w:szCs w:val="24"/>
              </w:rPr>
              <w:t>Wnioskodawca albo partner (o ile występuje) w okresie 5 lat przed terminem złożenia wniosku o dofinansowanie zrealizował co najmniej jeden projekt finansowany ze środków UE lub innych środków publicznych na rzecz przedsiębiorców lub ich pracowników, w ramach którego realizował on działania spełniające łącznie poniższe warunki:</w:t>
            </w:r>
          </w:p>
          <w:p w14:paraId="2F839C70" w14:textId="77777777" w:rsidR="007C3C4E" w:rsidRPr="007C3C4E" w:rsidRDefault="007C3C4E" w:rsidP="005C0194">
            <w:pPr>
              <w:tabs>
                <w:tab w:val="left" w:pos="299"/>
              </w:tabs>
              <w:spacing w:before="120" w:after="120"/>
              <w:rPr>
                <w:rFonts w:ascii="Calibri" w:eastAsia="Times New Roman" w:hAnsi="Calibri" w:cs="Calibri"/>
                <w:sz w:val="24"/>
                <w:szCs w:val="24"/>
              </w:rPr>
            </w:pPr>
            <w:r w:rsidRPr="007C3C4E">
              <w:rPr>
                <w:rFonts w:ascii="Calibri" w:eastAsia="Times New Roman" w:hAnsi="Calibri" w:cs="Calibri"/>
                <w:sz w:val="24"/>
                <w:szCs w:val="24"/>
              </w:rPr>
              <w:t>•</w:t>
            </w:r>
            <w:r w:rsidRPr="007C3C4E">
              <w:rPr>
                <w:rFonts w:ascii="Calibri" w:eastAsia="Times New Roman" w:hAnsi="Calibri" w:cs="Calibri"/>
                <w:sz w:val="24"/>
                <w:szCs w:val="24"/>
              </w:rPr>
              <w:tab/>
              <w:t xml:space="preserve">udzielono pomocy publicznej lub pomocy de minimis, </w:t>
            </w:r>
          </w:p>
          <w:p w14:paraId="1898782A" w14:textId="671531AD" w:rsidR="0009519C" w:rsidRPr="007C3C4E" w:rsidRDefault="007C3C4E" w:rsidP="005C0194">
            <w:pPr>
              <w:tabs>
                <w:tab w:val="left" w:pos="299"/>
              </w:tabs>
              <w:spacing w:before="120" w:after="120" w:line="276" w:lineRule="auto"/>
              <w:rPr>
                <w:rFonts w:ascii="Calibri" w:eastAsia="Times New Roman" w:hAnsi="Calibri" w:cs="Calibri"/>
                <w:sz w:val="24"/>
                <w:szCs w:val="24"/>
              </w:rPr>
            </w:pPr>
            <w:r w:rsidRPr="007C3C4E">
              <w:rPr>
                <w:rFonts w:ascii="Calibri" w:eastAsia="Times New Roman" w:hAnsi="Calibri" w:cs="Calibri"/>
                <w:sz w:val="24"/>
                <w:szCs w:val="24"/>
              </w:rPr>
              <w:t>•</w:t>
            </w:r>
            <w:r w:rsidRPr="007C3C4E">
              <w:rPr>
                <w:rFonts w:ascii="Calibri" w:eastAsia="Times New Roman" w:hAnsi="Calibri" w:cs="Calibri"/>
                <w:sz w:val="24"/>
                <w:szCs w:val="24"/>
              </w:rPr>
              <w:tab/>
              <w:t>wsparcie skierowane zostało do przedsiębiorców lub ich pracowników, stanowiących liczbowo minimum 50% wskaźnika produktu założonego we wniosku o dofinansowanie projektu, złożonym w ramach konkursu.</w:t>
            </w:r>
          </w:p>
        </w:tc>
        <w:tc>
          <w:tcPr>
            <w:tcW w:w="7088" w:type="dxa"/>
            <w:vAlign w:val="center"/>
          </w:tcPr>
          <w:p w14:paraId="05D817F1" w14:textId="77777777" w:rsidR="007C3C4E" w:rsidRPr="007C3C4E" w:rsidRDefault="007C3C4E" w:rsidP="005C0194">
            <w:pPr>
              <w:rPr>
                <w:rFonts w:cstheme="minorHAnsi"/>
                <w:sz w:val="24"/>
                <w:szCs w:val="24"/>
              </w:rPr>
            </w:pPr>
            <w:r w:rsidRPr="007C3C4E">
              <w:rPr>
                <w:rFonts w:cstheme="minorHAnsi"/>
                <w:sz w:val="24"/>
                <w:szCs w:val="24"/>
              </w:rPr>
              <w:t>Kryterium to zagwarantuje wybór podmiotu, który posiada doświadczenie w realizacji projektu/projektów, w ramach którego/</w:t>
            </w:r>
            <w:proofErr w:type="spellStart"/>
            <w:r w:rsidRPr="007C3C4E">
              <w:rPr>
                <w:rFonts w:cstheme="minorHAnsi"/>
                <w:sz w:val="24"/>
                <w:szCs w:val="24"/>
              </w:rPr>
              <w:t>ych</w:t>
            </w:r>
            <w:proofErr w:type="spellEnd"/>
            <w:r w:rsidRPr="007C3C4E">
              <w:rPr>
                <w:rFonts w:cstheme="minorHAnsi"/>
                <w:sz w:val="24"/>
                <w:szCs w:val="24"/>
              </w:rPr>
              <w:t xml:space="preserve"> udzielał on pomocy publicznej lub pomocy de minimis przedsiębiorcom. </w:t>
            </w:r>
          </w:p>
          <w:p w14:paraId="4E1B21D6" w14:textId="77777777" w:rsidR="007C3C4E" w:rsidRPr="007C3C4E" w:rsidRDefault="007C3C4E" w:rsidP="005C0194">
            <w:pPr>
              <w:rPr>
                <w:rFonts w:cstheme="minorHAnsi"/>
                <w:sz w:val="24"/>
                <w:szCs w:val="24"/>
              </w:rPr>
            </w:pPr>
          </w:p>
          <w:p w14:paraId="4B5BDDF0" w14:textId="77777777" w:rsidR="0009519C" w:rsidRDefault="007C3C4E" w:rsidP="005C0194">
            <w:pPr>
              <w:spacing w:line="276" w:lineRule="auto"/>
              <w:rPr>
                <w:rFonts w:cstheme="minorHAnsi"/>
                <w:sz w:val="24"/>
                <w:szCs w:val="24"/>
              </w:rPr>
            </w:pPr>
            <w:r w:rsidRPr="007C3C4E">
              <w:rPr>
                <w:rFonts w:cstheme="minorHAnsi"/>
                <w:sz w:val="24"/>
                <w:szCs w:val="24"/>
              </w:rPr>
              <w:t xml:space="preserve">Przez </w:t>
            </w:r>
            <w:r w:rsidRPr="007C3C4E">
              <w:rPr>
                <w:rFonts w:cstheme="minorHAnsi"/>
                <w:b/>
                <w:sz w:val="24"/>
                <w:szCs w:val="24"/>
              </w:rPr>
              <w:t xml:space="preserve">Projekt </w:t>
            </w:r>
            <w:r w:rsidRPr="007C3C4E">
              <w:rPr>
                <w:rFonts w:cstheme="minorHAnsi"/>
                <w:sz w:val="24"/>
                <w:szCs w:val="24"/>
              </w:rPr>
              <w:t xml:space="preserve">rozumie się przedsięwzięcie o charakterze jednorazowym składające się z zestawu powiązanych ze sobą zadań, podejmowane dla osiągnięcia z góry określonych celów, posiadające określony budżet.  </w:t>
            </w:r>
          </w:p>
          <w:p w14:paraId="3D616043" w14:textId="0AFEA4D8" w:rsidR="007C3C4E" w:rsidRDefault="007C3C4E" w:rsidP="005C0194">
            <w:pPr>
              <w:spacing w:line="276" w:lineRule="auto"/>
              <w:rPr>
                <w:rFonts w:cstheme="minorHAnsi"/>
                <w:sz w:val="24"/>
                <w:szCs w:val="24"/>
              </w:rPr>
            </w:pPr>
            <w:r w:rsidRPr="007C3C4E">
              <w:rPr>
                <w:rFonts w:cstheme="minorHAnsi"/>
                <w:sz w:val="24"/>
                <w:szCs w:val="24"/>
              </w:rPr>
              <w:t xml:space="preserve">Przez </w:t>
            </w:r>
            <w:r w:rsidRPr="007C3C4E">
              <w:rPr>
                <w:rFonts w:cstheme="minorHAnsi"/>
                <w:b/>
                <w:sz w:val="24"/>
                <w:szCs w:val="24"/>
              </w:rPr>
              <w:t>zrealizowany projekt finansowany ze środków UE</w:t>
            </w:r>
            <w:r w:rsidRPr="007C3C4E">
              <w:rPr>
                <w:rFonts w:cstheme="minorHAnsi"/>
                <w:sz w:val="24"/>
                <w:szCs w:val="24"/>
              </w:rPr>
              <w:t xml:space="preserve"> należy rozumieć projekt, którego realizacja się zakończyła oraz dla którego instytucja nadzorująca zaakceptowała wniosek końcowy.</w:t>
            </w:r>
          </w:p>
          <w:p w14:paraId="1EC5A59E" w14:textId="394C524C" w:rsidR="007C3C4E" w:rsidRDefault="007C3C4E" w:rsidP="005C0194">
            <w:pPr>
              <w:spacing w:line="276" w:lineRule="auto"/>
              <w:rPr>
                <w:rFonts w:cstheme="minorHAnsi"/>
                <w:sz w:val="24"/>
                <w:szCs w:val="24"/>
              </w:rPr>
            </w:pPr>
            <w:r w:rsidRPr="007C3C4E">
              <w:rPr>
                <w:rFonts w:cstheme="minorHAnsi"/>
                <w:sz w:val="24"/>
                <w:szCs w:val="24"/>
              </w:rPr>
              <w:t xml:space="preserve">Przez </w:t>
            </w:r>
            <w:r w:rsidRPr="007C3C4E">
              <w:rPr>
                <w:rFonts w:cstheme="minorHAnsi"/>
                <w:b/>
                <w:sz w:val="24"/>
                <w:szCs w:val="24"/>
              </w:rPr>
              <w:t>zrealizowany projekt finansowany z innych środków</w:t>
            </w:r>
            <w:r w:rsidRPr="007C3C4E">
              <w:rPr>
                <w:rFonts w:cstheme="minorHAnsi"/>
                <w:sz w:val="24"/>
                <w:szCs w:val="24"/>
              </w:rPr>
              <w:t xml:space="preserve"> </w:t>
            </w:r>
            <w:r w:rsidRPr="002B6948">
              <w:rPr>
                <w:rFonts w:cstheme="minorHAnsi"/>
                <w:b/>
                <w:sz w:val="24"/>
                <w:szCs w:val="24"/>
              </w:rPr>
              <w:t>publicznych (krajowych, zagranicznych i międzynarodowych)</w:t>
            </w:r>
            <w:r w:rsidRPr="007C3C4E">
              <w:rPr>
                <w:rFonts w:cstheme="minorHAnsi"/>
                <w:sz w:val="24"/>
                <w:szCs w:val="24"/>
              </w:rPr>
              <w:t xml:space="preserve"> należy rozumieć projekt, którego realizacja się zakończyła oraz dla którego instytucja nadzorująca zaakceptowała</w:t>
            </w:r>
            <w:r>
              <w:t xml:space="preserve"> </w:t>
            </w:r>
            <w:r w:rsidRPr="007C3C4E">
              <w:rPr>
                <w:rFonts w:cstheme="minorHAnsi"/>
                <w:sz w:val="24"/>
                <w:szCs w:val="24"/>
              </w:rPr>
              <w:t>sprawozdanie końcowe z realizacji zadania publicznego.</w:t>
            </w:r>
          </w:p>
          <w:p w14:paraId="630E3B6B" w14:textId="77777777" w:rsidR="00152FF5" w:rsidRPr="00152FF5" w:rsidRDefault="00152FF5" w:rsidP="005C0194">
            <w:pPr>
              <w:rPr>
                <w:rFonts w:cstheme="minorHAnsi"/>
                <w:sz w:val="24"/>
                <w:szCs w:val="24"/>
              </w:rPr>
            </w:pPr>
            <w:r w:rsidRPr="00152FF5">
              <w:rPr>
                <w:rFonts w:cstheme="minorHAnsi"/>
                <w:sz w:val="24"/>
                <w:szCs w:val="24"/>
              </w:rPr>
              <w:t xml:space="preserve">Poprzez </w:t>
            </w:r>
            <w:r w:rsidRPr="00152FF5">
              <w:rPr>
                <w:rFonts w:cstheme="minorHAnsi"/>
                <w:b/>
                <w:sz w:val="24"/>
                <w:szCs w:val="24"/>
              </w:rPr>
              <w:t>udzielanie pomocy publicznej</w:t>
            </w:r>
            <w:r w:rsidRPr="00152FF5">
              <w:rPr>
                <w:rFonts w:cstheme="minorHAnsi"/>
                <w:sz w:val="24"/>
                <w:szCs w:val="24"/>
              </w:rPr>
              <w:t xml:space="preserve"> lub </w:t>
            </w:r>
            <w:r w:rsidRPr="00152FF5">
              <w:rPr>
                <w:rFonts w:cstheme="minorHAnsi"/>
                <w:b/>
                <w:sz w:val="24"/>
                <w:szCs w:val="24"/>
              </w:rPr>
              <w:t>pomocy de minimis</w:t>
            </w:r>
            <w:r w:rsidRPr="00152FF5">
              <w:rPr>
                <w:rFonts w:cstheme="minorHAnsi"/>
                <w:sz w:val="24"/>
                <w:szCs w:val="24"/>
              </w:rPr>
              <w:t xml:space="preserve"> rozumie się:</w:t>
            </w:r>
          </w:p>
          <w:p w14:paraId="340A6BC9" w14:textId="77777777" w:rsidR="00152FF5" w:rsidRPr="00152FF5" w:rsidRDefault="00152FF5" w:rsidP="005C0194">
            <w:pPr>
              <w:rPr>
                <w:rFonts w:cstheme="minorHAnsi"/>
                <w:sz w:val="24"/>
                <w:szCs w:val="24"/>
              </w:rPr>
            </w:pPr>
            <w:r w:rsidRPr="00152FF5">
              <w:rPr>
                <w:rFonts w:cstheme="minorHAnsi"/>
                <w:sz w:val="24"/>
                <w:szCs w:val="24"/>
              </w:rPr>
              <w:t>a) bycie stroną umów, w ramach, których udzielana była w/w pomoc oraz podmiotem wskazywanym w zaświadczeniach o udzielanej pomocy publicznej/de minimis, wystawianych w związku z jej udzieleniem</w:t>
            </w:r>
          </w:p>
          <w:p w14:paraId="0ED5D7C9" w14:textId="77777777" w:rsidR="00152FF5" w:rsidRPr="00152FF5" w:rsidRDefault="00152FF5" w:rsidP="005C0194">
            <w:pPr>
              <w:rPr>
                <w:rFonts w:cstheme="minorHAnsi"/>
                <w:sz w:val="24"/>
                <w:szCs w:val="24"/>
              </w:rPr>
            </w:pPr>
            <w:r w:rsidRPr="00152FF5">
              <w:rPr>
                <w:rFonts w:cstheme="minorHAnsi"/>
                <w:sz w:val="24"/>
                <w:szCs w:val="24"/>
              </w:rPr>
              <w:t>lub</w:t>
            </w:r>
          </w:p>
          <w:p w14:paraId="09947364" w14:textId="3CC404B9" w:rsidR="007C3C4E" w:rsidRPr="007C3C4E" w:rsidRDefault="00152FF5" w:rsidP="005C0194">
            <w:pPr>
              <w:rPr>
                <w:rFonts w:cstheme="minorHAnsi"/>
                <w:sz w:val="24"/>
                <w:szCs w:val="24"/>
              </w:rPr>
            </w:pPr>
            <w:r w:rsidRPr="00152FF5">
              <w:rPr>
                <w:rFonts w:cstheme="minorHAnsi"/>
                <w:sz w:val="24"/>
                <w:szCs w:val="24"/>
              </w:rPr>
              <w:t>b) wykonywanie czynności związanych z zawieraniem umów o udzielenie pomocy de minimis lub pomocy publicznej oraz wystawianiem stosownych zaświadczeń.</w:t>
            </w:r>
          </w:p>
          <w:p w14:paraId="2C469430" w14:textId="1F1B6BDE" w:rsidR="007C3C4E" w:rsidRPr="00D43726" w:rsidRDefault="007C3C4E" w:rsidP="005C0194">
            <w:pPr>
              <w:spacing w:line="276" w:lineRule="auto"/>
              <w:rPr>
                <w:rFonts w:cstheme="minorHAnsi"/>
                <w:sz w:val="24"/>
                <w:szCs w:val="24"/>
              </w:rPr>
            </w:pPr>
            <w:r w:rsidRPr="007C3C4E">
              <w:rPr>
                <w:rFonts w:cstheme="minorHAnsi"/>
                <w:sz w:val="24"/>
                <w:szCs w:val="24"/>
              </w:rPr>
              <w:t>Ocena tego kryterium dokonywana będzie w oparciu o załączone do wniosku oświadczenie podmiotu -  wykaz zrealizowanych projektów na rzecz przedsiębiorców lub ich pracowników.</w:t>
            </w:r>
          </w:p>
        </w:tc>
        <w:tc>
          <w:tcPr>
            <w:tcW w:w="1984" w:type="dxa"/>
            <w:vAlign w:val="center"/>
          </w:tcPr>
          <w:p w14:paraId="3373A234" w14:textId="0EB8D251" w:rsidR="0009519C" w:rsidRPr="00F136AF" w:rsidRDefault="0009519C" w:rsidP="005C0194">
            <w:pPr>
              <w:pStyle w:val="Akapitzlist"/>
              <w:spacing w:line="276" w:lineRule="auto"/>
              <w:ind w:left="0"/>
              <w:rPr>
                <w:rFonts w:asciiTheme="minorHAnsi" w:hAnsiTheme="minorHAnsi" w:cstheme="minorHAnsi"/>
              </w:rPr>
            </w:pPr>
            <w:r w:rsidRPr="00F136AF">
              <w:rPr>
                <w:rFonts w:asciiTheme="minorHAnsi" w:hAnsiTheme="minorHAnsi" w:cstheme="minorHAnsi"/>
              </w:rPr>
              <w:t>TAK</w:t>
            </w:r>
          </w:p>
        </w:tc>
      </w:tr>
    </w:tbl>
    <w:tbl>
      <w:tblPr>
        <w:tblStyle w:val="Tabela-Siatka"/>
        <w:tblpPr w:leftFromText="141" w:rightFromText="141" w:vertAnchor="page" w:horzAnchor="margin" w:tblpY="1561"/>
        <w:tblW w:w="14743" w:type="dxa"/>
        <w:tblLayout w:type="fixed"/>
        <w:tblLook w:val="04A0" w:firstRow="1" w:lastRow="0" w:firstColumn="1" w:lastColumn="0" w:noHBand="0" w:noVBand="1"/>
      </w:tblPr>
      <w:tblGrid>
        <w:gridCol w:w="568"/>
        <w:gridCol w:w="5244"/>
        <w:gridCol w:w="6947"/>
        <w:gridCol w:w="1984"/>
      </w:tblGrid>
      <w:tr w:rsidR="005201CE" w:rsidRPr="00D43726" w14:paraId="37F89C28" w14:textId="77777777" w:rsidTr="005201CE">
        <w:trPr>
          <w:trHeight w:val="705"/>
          <w:tblHeader/>
        </w:trPr>
        <w:tc>
          <w:tcPr>
            <w:tcW w:w="14743" w:type="dxa"/>
            <w:gridSpan w:val="4"/>
            <w:tcBorders>
              <w:top w:val="nil"/>
              <w:left w:val="nil"/>
              <w:right w:val="nil"/>
            </w:tcBorders>
            <w:shd w:val="clear" w:color="auto" w:fill="auto"/>
            <w:vAlign w:val="center"/>
          </w:tcPr>
          <w:p w14:paraId="5F4D6A6C" w14:textId="4A71E761" w:rsidR="00E103BD" w:rsidRPr="00E103BD" w:rsidRDefault="005201CE" w:rsidP="005C0194">
            <w:pPr>
              <w:pStyle w:val="Akapitzlist"/>
              <w:numPr>
                <w:ilvl w:val="0"/>
                <w:numId w:val="11"/>
              </w:numPr>
              <w:spacing w:line="276" w:lineRule="auto"/>
              <w:rPr>
                <w:rFonts w:cstheme="minorHAnsi"/>
                <w:b/>
                <w:color w:val="000000" w:themeColor="text1"/>
              </w:rPr>
            </w:pPr>
            <w:r w:rsidRPr="002D4C95">
              <w:rPr>
                <w:rFonts w:asciiTheme="minorHAnsi" w:hAnsiTheme="minorHAnsi" w:cstheme="minorHAnsi"/>
                <w:b/>
                <w:color w:val="000000" w:themeColor="text1"/>
              </w:rPr>
              <w:t>KRYTERIA PREMIUJĄCE WERYFIKOWANE NA ETAPIE OCENY MERYTORYCZNEJ</w:t>
            </w:r>
          </w:p>
        </w:tc>
      </w:tr>
      <w:tr w:rsidR="005201CE" w:rsidRPr="00D43726" w14:paraId="3DEF30FC" w14:textId="77777777" w:rsidTr="007C3C4E">
        <w:trPr>
          <w:trHeight w:val="1126"/>
          <w:tblHeader/>
        </w:trPr>
        <w:tc>
          <w:tcPr>
            <w:tcW w:w="568" w:type="dxa"/>
            <w:shd w:val="clear" w:color="auto" w:fill="C6D9F1" w:themeFill="text2" w:themeFillTint="33"/>
            <w:vAlign w:val="center"/>
          </w:tcPr>
          <w:p w14:paraId="41C8A6D7" w14:textId="00FA98FF" w:rsidR="005201CE" w:rsidRPr="00D43726" w:rsidRDefault="005201CE" w:rsidP="005C0194">
            <w:pPr>
              <w:pStyle w:val="Akapitzlist"/>
              <w:spacing w:line="276" w:lineRule="auto"/>
              <w:ind w:left="0"/>
              <w:rPr>
                <w:rFonts w:asciiTheme="minorHAnsi" w:hAnsiTheme="minorHAnsi" w:cstheme="minorHAnsi"/>
                <w:b/>
                <w:i/>
                <w:shd w:val="clear" w:color="auto" w:fill="C6D9F1" w:themeFill="text2" w:themeFillTint="33"/>
              </w:rPr>
            </w:pPr>
            <w:r w:rsidRPr="00D43726">
              <w:rPr>
                <w:rFonts w:asciiTheme="minorHAnsi" w:hAnsiTheme="minorHAnsi" w:cstheme="minorHAnsi"/>
                <w:b/>
                <w:i/>
                <w:shd w:val="clear" w:color="auto" w:fill="C6D9F1" w:themeFill="text2" w:themeFillTint="33"/>
              </w:rPr>
              <w:t>Lp</w:t>
            </w:r>
            <w:r w:rsidRPr="00D43726">
              <w:rPr>
                <w:rFonts w:asciiTheme="minorHAnsi" w:hAnsiTheme="minorHAnsi" w:cstheme="minorHAnsi"/>
                <w:b/>
                <w:i/>
              </w:rPr>
              <w:t>.</w:t>
            </w:r>
          </w:p>
        </w:tc>
        <w:tc>
          <w:tcPr>
            <w:tcW w:w="5244" w:type="dxa"/>
            <w:shd w:val="clear" w:color="auto" w:fill="C6D9F1" w:themeFill="text2" w:themeFillTint="33"/>
            <w:vAlign w:val="center"/>
          </w:tcPr>
          <w:p w14:paraId="49B55C1F" w14:textId="28CC0F75" w:rsidR="005201CE" w:rsidRPr="00D43726" w:rsidRDefault="005201CE" w:rsidP="005C0194">
            <w:pPr>
              <w:spacing w:line="276" w:lineRule="auto"/>
              <w:rPr>
                <w:rFonts w:cstheme="minorHAnsi"/>
                <w:b/>
                <w:i/>
                <w:sz w:val="24"/>
                <w:szCs w:val="24"/>
              </w:rPr>
            </w:pPr>
            <w:r w:rsidRPr="00D43726">
              <w:rPr>
                <w:rFonts w:cstheme="minorHAnsi"/>
                <w:b/>
                <w:i/>
                <w:sz w:val="24"/>
                <w:szCs w:val="24"/>
              </w:rPr>
              <w:t>Kryterium</w:t>
            </w:r>
          </w:p>
        </w:tc>
        <w:tc>
          <w:tcPr>
            <w:tcW w:w="6947" w:type="dxa"/>
            <w:shd w:val="clear" w:color="auto" w:fill="C6D9F1" w:themeFill="text2" w:themeFillTint="33"/>
            <w:vAlign w:val="center"/>
          </w:tcPr>
          <w:p w14:paraId="3779C469" w14:textId="77777777" w:rsidR="005201CE" w:rsidRPr="00150DCD" w:rsidRDefault="005201CE" w:rsidP="005C0194">
            <w:pPr>
              <w:pStyle w:val="Akapitzlist"/>
              <w:spacing w:line="276" w:lineRule="auto"/>
              <w:ind w:left="0"/>
              <w:rPr>
                <w:rFonts w:asciiTheme="minorHAnsi" w:hAnsiTheme="minorHAnsi" w:cstheme="minorHAnsi"/>
                <w:b/>
                <w:i/>
              </w:rPr>
            </w:pPr>
            <w:r w:rsidRPr="00150DCD">
              <w:rPr>
                <w:rFonts w:asciiTheme="minorHAnsi" w:hAnsiTheme="minorHAnsi" w:cstheme="minorHAnsi"/>
                <w:b/>
                <w:i/>
              </w:rPr>
              <w:t>- Uzasadnienie kryterium;</w:t>
            </w:r>
          </w:p>
          <w:p w14:paraId="4D9BFF2E" w14:textId="5570CB5E" w:rsidR="005201CE" w:rsidRPr="00D43726" w:rsidRDefault="005201CE" w:rsidP="005C0194">
            <w:pPr>
              <w:pStyle w:val="Akapitzlist"/>
              <w:spacing w:line="276" w:lineRule="auto"/>
              <w:ind w:left="0"/>
              <w:rPr>
                <w:rFonts w:asciiTheme="minorHAnsi" w:hAnsiTheme="minorHAnsi" w:cstheme="minorHAnsi"/>
                <w:b/>
                <w:i/>
              </w:rPr>
            </w:pPr>
            <w:r w:rsidRPr="00150DCD">
              <w:rPr>
                <w:rFonts w:asciiTheme="minorHAnsi" w:hAnsiTheme="minorHAnsi" w:cstheme="minorHAnsi"/>
                <w:b/>
                <w:i/>
              </w:rPr>
              <w:t>- Sposób oceny kryterium;</w:t>
            </w:r>
          </w:p>
        </w:tc>
        <w:tc>
          <w:tcPr>
            <w:tcW w:w="1984" w:type="dxa"/>
            <w:shd w:val="clear" w:color="auto" w:fill="C6D9F1" w:themeFill="text2" w:themeFillTint="33"/>
            <w:vAlign w:val="center"/>
          </w:tcPr>
          <w:p w14:paraId="74997374" w14:textId="6336C7C9" w:rsidR="005201CE" w:rsidRPr="00D43726" w:rsidRDefault="005201CE" w:rsidP="005C0194">
            <w:pPr>
              <w:pStyle w:val="Akapitzlist"/>
              <w:spacing w:line="276" w:lineRule="auto"/>
              <w:ind w:left="0"/>
              <w:rPr>
                <w:rFonts w:asciiTheme="minorHAnsi" w:hAnsiTheme="minorHAnsi" w:cstheme="minorHAnsi"/>
                <w:b/>
                <w:i/>
                <w:color w:val="000000" w:themeColor="text1"/>
              </w:rPr>
            </w:pPr>
            <w:r w:rsidRPr="00D43726">
              <w:rPr>
                <w:rFonts w:asciiTheme="minorHAnsi" w:hAnsiTheme="minorHAnsi" w:cstheme="minorHAnsi"/>
                <w:b/>
                <w:i/>
                <w:color w:val="000000" w:themeColor="text1"/>
              </w:rPr>
              <w:t>Liczba punktów premiujących</w:t>
            </w:r>
          </w:p>
        </w:tc>
      </w:tr>
      <w:tr w:rsidR="005201CE" w:rsidRPr="00D43726" w14:paraId="528CE568" w14:textId="77777777" w:rsidTr="007C3C4E">
        <w:trPr>
          <w:tblHeader/>
        </w:trPr>
        <w:tc>
          <w:tcPr>
            <w:tcW w:w="568" w:type="dxa"/>
            <w:vAlign w:val="center"/>
          </w:tcPr>
          <w:p w14:paraId="58F730F7" w14:textId="631B2CCB" w:rsidR="005201CE" w:rsidRPr="00D43726" w:rsidRDefault="005201CE" w:rsidP="005C0194">
            <w:pPr>
              <w:pStyle w:val="Akapitzlist"/>
              <w:spacing w:line="276" w:lineRule="auto"/>
              <w:ind w:left="0"/>
              <w:rPr>
                <w:rFonts w:asciiTheme="minorHAnsi" w:hAnsiTheme="minorHAnsi" w:cstheme="minorHAnsi"/>
              </w:rPr>
            </w:pPr>
            <w:r w:rsidRPr="00D43726">
              <w:rPr>
                <w:rFonts w:asciiTheme="minorHAnsi" w:hAnsiTheme="minorHAnsi" w:cstheme="minorHAnsi"/>
              </w:rPr>
              <w:t>1.</w:t>
            </w:r>
          </w:p>
        </w:tc>
        <w:tc>
          <w:tcPr>
            <w:tcW w:w="5244" w:type="dxa"/>
            <w:vAlign w:val="center"/>
          </w:tcPr>
          <w:p w14:paraId="6A1F0297" w14:textId="13085F3F" w:rsidR="005201CE" w:rsidRPr="00046A5C" w:rsidRDefault="007C3C4E" w:rsidP="005C0194">
            <w:pPr>
              <w:spacing w:line="276" w:lineRule="auto"/>
              <w:rPr>
                <w:rFonts w:eastAsia="Times New Roman" w:cstheme="minorHAnsi"/>
                <w:sz w:val="24"/>
                <w:szCs w:val="24"/>
              </w:rPr>
            </w:pPr>
            <w:r w:rsidRPr="007C3C4E">
              <w:rPr>
                <w:rFonts w:eastAsia="Times New Roman" w:cstheme="minorHAnsi"/>
                <w:sz w:val="24"/>
                <w:szCs w:val="24"/>
              </w:rPr>
              <w:t>Wnioskodawca zapewni, że do projektu zostanie zatrudniona osoba z niepełnosprawnością w wymiarze co najmniej ½ etatu przez co najmniej połowę okresu  jego realizacji.</w:t>
            </w:r>
          </w:p>
        </w:tc>
        <w:tc>
          <w:tcPr>
            <w:tcW w:w="6947" w:type="dxa"/>
            <w:vAlign w:val="center"/>
          </w:tcPr>
          <w:p w14:paraId="32B8EF5F" w14:textId="77777777" w:rsidR="002D4C95" w:rsidRDefault="007C3C4E" w:rsidP="005C0194">
            <w:pPr>
              <w:spacing w:before="120" w:after="120"/>
              <w:ind w:left="57"/>
              <w:rPr>
                <w:rFonts w:eastAsia="Times New Roman" w:cstheme="minorHAnsi"/>
                <w:sz w:val="24"/>
                <w:szCs w:val="24"/>
              </w:rPr>
            </w:pPr>
            <w:r>
              <w:rPr>
                <w:rFonts w:eastAsia="Times New Roman" w:cstheme="minorHAnsi"/>
                <w:sz w:val="24"/>
                <w:szCs w:val="24"/>
              </w:rPr>
              <w:t xml:space="preserve">Osoba z niepełnosprawnością: </w:t>
            </w:r>
            <w:r w:rsidRPr="007C3C4E">
              <w:rPr>
                <w:rFonts w:eastAsia="Times New Roman" w:cstheme="minorHAnsi"/>
                <w:sz w:val="24"/>
                <w:szCs w:val="24"/>
              </w:rPr>
              <w:t>- w rozumieniu Wytycznych w zakresie realizacji zasady równości szans i niedyskryminacji, w tym dostępności dla osób z niepełnosprawnością oraz zasady równości szans kobiet i mężczyzn w ramach funduszy unijnych na lata 2014-2020.</w:t>
            </w:r>
          </w:p>
          <w:p w14:paraId="69E5F0C1" w14:textId="77777777" w:rsidR="007C3C4E" w:rsidRDefault="007C3C4E" w:rsidP="005C0194">
            <w:pPr>
              <w:spacing w:before="120" w:after="120"/>
              <w:ind w:left="57"/>
              <w:rPr>
                <w:rFonts w:eastAsia="Times New Roman" w:cstheme="minorHAnsi"/>
                <w:sz w:val="24"/>
                <w:szCs w:val="24"/>
              </w:rPr>
            </w:pPr>
            <w:r w:rsidRPr="007C3C4E">
              <w:rPr>
                <w:rFonts w:eastAsia="Times New Roman" w:cstheme="minorHAnsi"/>
                <w:sz w:val="24"/>
                <w:szCs w:val="24"/>
              </w:rPr>
              <w:t>Kryterium ma na celu promowanie zaangażowania osób z niepełnosprawnością w projektach współfinansowanych ze środków UE.</w:t>
            </w:r>
          </w:p>
          <w:p w14:paraId="7165DB5E" w14:textId="77777777" w:rsidR="007C3C4E" w:rsidRPr="007C3C4E" w:rsidRDefault="007C3C4E" w:rsidP="005C0194">
            <w:pPr>
              <w:spacing w:before="120" w:after="120"/>
              <w:ind w:left="57"/>
              <w:rPr>
                <w:rFonts w:eastAsia="Times New Roman" w:cstheme="minorHAnsi"/>
                <w:sz w:val="24"/>
                <w:szCs w:val="24"/>
              </w:rPr>
            </w:pPr>
            <w:r w:rsidRPr="007C3C4E">
              <w:rPr>
                <w:rFonts w:eastAsia="Times New Roman" w:cstheme="minorHAnsi"/>
                <w:sz w:val="24"/>
                <w:szCs w:val="24"/>
              </w:rPr>
              <w:t>Kryterium weryfikowane na podstawie treści złożonego wniosku o dofinansowanie projektu PO WER.</w:t>
            </w:r>
          </w:p>
          <w:p w14:paraId="16752790" w14:textId="77777777" w:rsidR="007C3C4E" w:rsidRDefault="007C3C4E" w:rsidP="005C0194">
            <w:pPr>
              <w:spacing w:before="120" w:after="120"/>
              <w:ind w:left="57"/>
              <w:rPr>
                <w:rFonts w:eastAsia="Times New Roman" w:cstheme="minorHAnsi"/>
                <w:sz w:val="24"/>
                <w:szCs w:val="24"/>
              </w:rPr>
            </w:pPr>
            <w:r w:rsidRPr="007C3C4E">
              <w:rPr>
                <w:rFonts w:eastAsia="Times New Roman" w:cstheme="minorHAnsi"/>
                <w:sz w:val="24"/>
                <w:szCs w:val="24"/>
              </w:rPr>
              <w:t>Koszt wynagrodzenia osoby z niepełnosprawnością może być kwalifikowany zarówno w ramach kosztów pośrednich jak i bezpośrednich projektu.</w:t>
            </w:r>
          </w:p>
          <w:p w14:paraId="0F725F19" w14:textId="6904E249" w:rsidR="007C3C4E" w:rsidRPr="00046A5C" w:rsidRDefault="007C3C4E" w:rsidP="005C0194">
            <w:pPr>
              <w:spacing w:before="120" w:after="120"/>
              <w:ind w:left="57"/>
              <w:rPr>
                <w:rFonts w:eastAsia="Times New Roman" w:cstheme="minorHAnsi"/>
                <w:sz w:val="24"/>
                <w:szCs w:val="24"/>
              </w:rPr>
            </w:pPr>
            <w:r w:rsidRPr="007C3C4E">
              <w:rPr>
                <w:rFonts w:eastAsia="Times New Roman" w:cstheme="minorHAnsi"/>
                <w:sz w:val="24"/>
                <w:szCs w:val="24"/>
              </w:rPr>
              <w:t>W przypadku kwalifikowania wynagrodzenia w ramach kosztów pośrednich, wyjątkowo, w celu weryfikacji spełniania kryterium premiującego, na etapie wdrażania projektu IP dopuszcza się konieczność przedstawienia przez Beneficjenta dokumentów potwierdzających zatrudnienie osoby z niepełnosprawnością tj. np. umowy o pracę, aneksu do umowy o pracę oraz zaświadczenie o niepełnosprawności.</w:t>
            </w:r>
          </w:p>
        </w:tc>
        <w:tc>
          <w:tcPr>
            <w:tcW w:w="1984" w:type="dxa"/>
            <w:vAlign w:val="center"/>
          </w:tcPr>
          <w:p w14:paraId="31B6F2C9" w14:textId="7538B65C" w:rsidR="005201CE" w:rsidRPr="00D43726" w:rsidRDefault="005201CE" w:rsidP="005C0194">
            <w:pPr>
              <w:pStyle w:val="Akapitzlist"/>
              <w:spacing w:line="276" w:lineRule="auto"/>
              <w:ind w:left="0"/>
              <w:rPr>
                <w:rFonts w:asciiTheme="minorHAnsi" w:hAnsiTheme="minorHAnsi" w:cstheme="minorHAnsi"/>
                <w:color w:val="000000" w:themeColor="text1"/>
              </w:rPr>
            </w:pPr>
            <w:r>
              <w:rPr>
                <w:rFonts w:asciiTheme="minorHAnsi" w:hAnsiTheme="minorHAnsi" w:cstheme="minorHAnsi"/>
                <w:color w:val="000000" w:themeColor="text1"/>
              </w:rPr>
              <w:t>4</w:t>
            </w:r>
          </w:p>
        </w:tc>
      </w:tr>
      <w:tr w:rsidR="005201CE" w:rsidRPr="00D43726" w14:paraId="705F152D" w14:textId="77777777" w:rsidTr="007C3C4E">
        <w:trPr>
          <w:tblHeader/>
        </w:trPr>
        <w:tc>
          <w:tcPr>
            <w:tcW w:w="568" w:type="dxa"/>
            <w:vAlign w:val="center"/>
          </w:tcPr>
          <w:p w14:paraId="41B0B09F" w14:textId="2492427C" w:rsidR="005201CE" w:rsidRPr="00D43726" w:rsidRDefault="005201CE" w:rsidP="005C0194">
            <w:pPr>
              <w:pStyle w:val="Akapitzlist"/>
              <w:spacing w:line="276" w:lineRule="auto"/>
              <w:ind w:left="0"/>
              <w:rPr>
                <w:rFonts w:asciiTheme="minorHAnsi" w:hAnsiTheme="minorHAnsi" w:cstheme="minorHAnsi"/>
              </w:rPr>
            </w:pPr>
            <w:r w:rsidRPr="00D43726">
              <w:rPr>
                <w:rFonts w:asciiTheme="minorHAnsi" w:hAnsiTheme="minorHAnsi" w:cstheme="minorHAnsi"/>
              </w:rPr>
              <w:t>2.</w:t>
            </w:r>
          </w:p>
        </w:tc>
        <w:tc>
          <w:tcPr>
            <w:tcW w:w="5244" w:type="dxa"/>
            <w:vAlign w:val="center"/>
          </w:tcPr>
          <w:p w14:paraId="3AAE3F8C" w14:textId="75C5AA5F" w:rsidR="005201CE" w:rsidRPr="00F90C23" w:rsidRDefault="007C3C4E" w:rsidP="005C0194">
            <w:pPr>
              <w:spacing w:line="276" w:lineRule="auto"/>
              <w:rPr>
                <w:rFonts w:eastAsia="Times New Roman" w:cstheme="minorHAnsi"/>
                <w:sz w:val="24"/>
                <w:szCs w:val="24"/>
              </w:rPr>
            </w:pPr>
            <w:r w:rsidRPr="007C3C4E">
              <w:rPr>
                <w:rFonts w:eastAsia="Times New Roman" w:cstheme="minorHAnsi"/>
                <w:sz w:val="24"/>
                <w:szCs w:val="24"/>
              </w:rPr>
              <w:t>Wnioskodawca zapewni system wspierający elektroniczne składanie dokumentów przez przedsiębiorców i ich pracowników biorących udział w projekcie, ich weryfikację oraz proces podpisywania umowy o udzielenie wsparcia.</w:t>
            </w:r>
          </w:p>
        </w:tc>
        <w:tc>
          <w:tcPr>
            <w:tcW w:w="6947" w:type="dxa"/>
            <w:vAlign w:val="center"/>
          </w:tcPr>
          <w:p w14:paraId="6334250F" w14:textId="610FF306" w:rsidR="007C3C4E" w:rsidRDefault="007C3C4E" w:rsidP="005C0194">
            <w:pPr>
              <w:rPr>
                <w:rFonts w:eastAsia="Times New Roman" w:cstheme="minorHAnsi"/>
                <w:sz w:val="24"/>
                <w:szCs w:val="24"/>
              </w:rPr>
            </w:pPr>
            <w:r w:rsidRPr="007C3C4E">
              <w:rPr>
                <w:rFonts w:eastAsia="Times New Roman" w:cstheme="minorHAnsi"/>
                <w:sz w:val="24"/>
                <w:szCs w:val="24"/>
              </w:rPr>
              <w:t xml:space="preserve">Kryterium to ma zapewnić możliwość sprawnej realizacji projektów oraz ułatwienie przedsiębiorcom i ich pracownikom korzystanie ze wsparcia oferowanego w ramach projektu. </w:t>
            </w:r>
          </w:p>
          <w:p w14:paraId="3BEB15DB" w14:textId="77777777" w:rsidR="007C3C4E" w:rsidRPr="007C3C4E" w:rsidRDefault="007C3C4E" w:rsidP="005C0194">
            <w:pPr>
              <w:rPr>
                <w:rFonts w:eastAsia="Times New Roman" w:cstheme="minorHAnsi"/>
                <w:sz w:val="24"/>
                <w:szCs w:val="24"/>
              </w:rPr>
            </w:pPr>
          </w:p>
          <w:p w14:paraId="627EA7F5" w14:textId="5D5E61B0" w:rsidR="007C3C4E" w:rsidRDefault="007C3C4E" w:rsidP="005C0194">
            <w:pPr>
              <w:rPr>
                <w:rFonts w:eastAsia="Times New Roman" w:cstheme="minorHAnsi"/>
                <w:sz w:val="24"/>
                <w:szCs w:val="24"/>
              </w:rPr>
            </w:pPr>
            <w:r w:rsidRPr="007C3C4E">
              <w:rPr>
                <w:rFonts w:eastAsia="Times New Roman" w:cstheme="minorHAnsi"/>
                <w:sz w:val="24"/>
                <w:szCs w:val="24"/>
              </w:rPr>
              <w:t xml:space="preserve">IOK w Regulaminie konkursu określi wymagania odnośnie do możliwości systemu, o którym mowa w kryterium. </w:t>
            </w:r>
          </w:p>
          <w:p w14:paraId="08D67A14" w14:textId="77777777" w:rsidR="007C3C4E" w:rsidRPr="007C3C4E" w:rsidRDefault="007C3C4E" w:rsidP="005C0194">
            <w:pPr>
              <w:rPr>
                <w:rFonts w:eastAsia="Times New Roman" w:cstheme="minorHAnsi"/>
                <w:sz w:val="24"/>
                <w:szCs w:val="24"/>
              </w:rPr>
            </w:pPr>
          </w:p>
          <w:p w14:paraId="40478C10" w14:textId="2FFE5758" w:rsidR="005201CE" w:rsidRPr="00F90C23" w:rsidRDefault="007C3C4E" w:rsidP="005C0194">
            <w:pPr>
              <w:spacing w:line="276" w:lineRule="auto"/>
              <w:rPr>
                <w:rFonts w:eastAsia="Times New Roman" w:cstheme="minorHAnsi"/>
                <w:sz w:val="24"/>
                <w:szCs w:val="24"/>
              </w:rPr>
            </w:pPr>
            <w:r w:rsidRPr="007C3C4E">
              <w:rPr>
                <w:rFonts w:eastAsia="Times New Roman" w:cstheme="minorHAnsi"/>
                <w:sz w:val="24"/>
                <w:szCs w:val="24"/>
              </w:rPr>
              <w:t>Kryterium będzie oceniane na podstawie treści wniosku o dofinansowanie projektu</w:t>
            </w:r>
          </w:p>
        </w:tc>
        <w:tc>
          <w:tcPr>
            <w:tcW w:w="1984" w:type="dxa"/>
            <w:vAlign w:val="center"/>
          </w:tcPr>
          <w:p w14:paraId="13D513A3" w14:textId="70ABF926" w:rsidR="005201CE" w:rsidRPr="00F90C23" w:rsidRDefault="005201CE" w:rsidP="005C0194">
            <w:pPr>
              <w:pStyle w:val="Akapitzlist"/>
              <w:spacing w:line="276" w:lineRule="auto"/>
              <w:ind w:left="0"/>
              <w:rPr>
                <w:rFonts w:asciiTheme="minorHAnsi" w:hAnsiTheme="minorHAnsi" w:cstheme="minorHAnsi"/>
              </w:rPr>
            </w:pPr>
            <w:r w:rsidRPr="00F90C23">
              <w:rPr>
                <w:rFonts w:asciiTheme="minorHAnsi" w:hAnsiTheme="minorHAnsi" w:cstheme="minorHAnsi"/>
              </w:rPr>
              <w:t>6</w:t>
            </w:r>
          </w:p>
        </w:tc>
      </w:tr>
    </w:tbl>
    <w:p w14:paraId="21B5C4E9" w14:textId="66843959" w:rsidR="000609A1" w:rsidRPr="00F90C23" w:rsidRDefault="000609A1" w:rsidP="005C0194">
      <w:pPr>
        <w:spacing w:before="480"/>
        <w:rPr>
          <w:rFonts w:cstheme="minorHAnsi"/>
          <w:b/>
          <w:color w:val="000000" w:themeColor="text1"/>
        </w:rPr>
      </w:pPr>
    </w:p>
    <w:sectPr w:rsidR="000609A1" w:rsidRPr="00F90C23" w:rsidSect="0002155C">
      <w:headerReference w:type="default" r:id="rId9"/>
      <w:pgSz w:w="16838" w:h="11906" w:orient="landscape"/>
      <w:pgMar w:top="568" w:right="1806" w:bottom="567" w:left="1417" w:header="284"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B7DF" w14:textId="77777777" w:rsidR="002E5860" w:rsidRDefault="002E5860" w:rsidP="00F91883">
      <w:pPr>
        <w:spacing w:after="0" w:line="240" w:lineRule="auto"/>
      </w:pPr>
      <w:r>
        <w:separator/>
      </w:r>
    </w:p>
  </w:endnote>
  <w:endnote w:type="continuationSeparator" w:id="0">
    <w:p w14:paraId="0F137601" w14:textId="77777777" w:rsidR="002E5860" w:rsidRDefault="002E5860"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754B9" w14:textId="77777777" w:rsidR="002E5860" w:rsidRDefault="002E5860" w:rsidP="00F91883">
      <w:pPr>
        <w:spacing w:after="0" w:line="240" w:lineRule="auto"/>
      </w:pPr>
      <w:r>
        <w:separator/>
      </w:r>
    </w:p>
  </w:footnote>
  <w:footnote w:type="continuationSeparator" w:id="0">
    <w:p w14:paraId="21510785" w14:textId="77777777" w:rsidR="002E5860" w:rsidRDefault="002E5860" w:rsidP="00F91883">
      <w:pPr>
        <w:spacing w:after="0" w:line="240" w:lineRule="auto"/>
      </w:pPr>
      <w:r>
        <w:continuationSeparator/>
      </w:r>
    </w:p>
  </w:footnote>
  <w:footnote w:id="1">
    <w:p w14:paraId="4FD81C16" w14:textId="1B998179" w:rsidR="0022566C" w:rsidRPr="00210CF1" w:rsidRDefault="0022566C">
      <w:pPr>
        <w:pStyle w:val="Tekstprzypisudolnego"/>
        <w:rPr>
          <w:rFonts w:asciiTheme="minorHAnsi" w:hAnsiTheme="minorHAnsi" w:cstheme="minorHAnsi"/>
        </w:rPr>
      </w:pPr>
      <w:r w:rsidRPr="00210CF1">
        <w:rPr>
          <w:rStyle w:val="Odwoanieprzypisudolnego"/>
          <w:rFonts w:asciiTheme="minorHAnsi" w:hAnsiTheme="minorHAnsi" w:cstheme="minorHAnsi"/>
        </w:rPr>
        <w:footnoteRef/>
      </w:r>
      <w:r w:rsidRPr="00210CF1">
        <w:rPr>
          <w:rFonts w:asciiTheme="minorHAnsi" w:hAnsiTheme="minorHAnsi" w:cstheme="minorHAnsi"/>
        </w:rPr>
        <w:t xml:space="preserve"> </w:t>
      </w:r>
      <w:r w:rsidR="00A01867" w:rsidRPr="00210CF1">
        <w:rPr>
          <w:rFonts w:asciiTheme="minorHAnsi" w:hAnsiTheme="minorHAnsi" w:cstheme="minorHAnsi"/>
        </w:rPr>
        <w:t>Treść</w:t>
      </w:r>
      <w:r w:rsidRPr="00210CF1">
        <w:rPr>
          <w:rFonts w:asciiTheme="minorHAnsi" w:hAnsiTheme="minorHAnsi" w:cstheme="minorHAnsi"/>
        </w:rPr>
        <w:t xml:space="preserve"> wniosku o dofinansowanie w części dotyczącej spełniania kryterium może być uzupełniana lub pop</w:t>
      </w:r>
      <w:r w:rsidR="00C43341" w:rsidRPr="00210CF1">
        <w:rPr>
          <w:rFonts w:asciiTheme="minorHAnsi" w:hAnsiTheme="minorHAnsi" w:cstheme="minorHAnsi"/>
        </w:rPr>
        <w:t>rawiana w zakresie określonym w </w:t>
      </w:r>
      <w:r w:rsidRPr="00210CF1">
        <w:rPr>
          <w:rFonts w:asciiTheme="minorHAnsi" w:hAnsiTheme="minorHAnsi" w:cstheme="minorHAnsi"/>
        </w:rPr>
        <w:t xml:space="preserve">regulaminie konkursu (na podstawie art. 45 ust. 3 ustawy z dnia 11 lipca 2014 r. o zasadach realizacji programów w zakresie polityki spójności finansowanych w perspektywie finansowej 2014–2020 (Dz. U. z </w:t>
      </w:r>
      <w:r w:rsidR="003162E0" w:rsidRPr="00210CF1">
        <w:rPr>
          <w:rFonts w:asciiTheme="minorHAnsi" w:hAnsiTheme="minorHAnsi" w:cstheme="minorHAnsi"/>
        </w:rPr>
        <w:t>201</w:t>
      </w:r>
      <w:r w:rsidR="003162E0">
        <w:rPr>
          <w:rFonts w:asciiTheme="minorHAnsi" w:hAnsiTheme="minorHAnsi" w:cstheme="minorHAnsi"/>
        </w:rPr>
        <w:t>8</w:t>
      </w:r>
      <w:r w:rsidR="003162E0" w:rsidRPr="00210CF1">
        <w:rPr>
          <w:rFonts w:asciiTheme="minorHAnsi" w:hAnsiTheme="minorHAnsi" w:cstheme="minorHAnsi"/>
        </w:rPr>
        <w:t xml:space="preserve"> </w:t>
      </w:r>
      <w:r w:rsidR="00A01867" w:rsidRPr="00210CF1">
        <w:rPr>
          <w:rFonts w:asciiTheme="minorHAnsi" w:hAnsiTheme="minorHAnsi" w:cstheme="minorHAnsi"/>
        </w:rPr>
        <w:t xml:space="preserve">r. poz. </w:t>
      </w:r>
      <w:r w:rsidR="003162E0" w:rsidRPr="00210CF1">
        <w:rPr>
          <w:rFonts w:asciiTheme="minorHAnsi" w:hAnsiTheme="minorHAnsi" w:cstheme="minorHAnsi"/>
        </w:rPr>
        <w:t>14</w:t>
      </w:r>
      <w:r w:rsidR="003162E0">
        <w:rPr>
          <w:rFonts w:asciiTheme="minorHAnsi" w:hAnsiTheme="minorHAnsi" w:cstheme="minorHAnsi"/>
        </w:rPr>
        <w:t>31</w:t>
      </w:r>
      <w:r w:rsidR="00A01867" w:rsidRPr="00210CF1">
        <w:rPr>
          <w:rFonts w:asciiTheme="minorHAnsi" w:hAnsiTheme="minorHAnsi" w:cstheme="minorHAnsi"/>
        </w:rPr>
        <w:t xml:space="preserve">, z </w:t>
      </w:r>
      <w:proofErr w:type="spellStart"/>
      <w:r w:rsidR="00A01867" w:rsidRPr="00210CF1">
        <w:rPr>
          <w:rFonts w:asciiTheme="minorHAnsi" w:hAnsiTheme="minorHAnsi" w:cstheme="minorHAnsi"/>
        </w:rPr>
        <w:t>późn</w:t>
      </w:r>
      <w:proofErr w:type="spellEnd"/>
      <w:r w:rsidR="00A01867" w:rsidRPr="00210CF1">
        <w:rPr>
          <w:rFonts w:asciiTheme="minorHAnsi" w:hAnsiTheme="minorHAnsi" w:cstheme="minorHAnsi"/>
        </w:rPr>
        <w:t xml:space="preserve">. zm.).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4059"/>
      <w:docPartObj>
        <w:docPartGallery w:val="Page Numbers (Top of Page)"/>
        <w:docPartUnique/>
      </w:docPartObj>
    </w:sdtPr>
    <w:sdtEndPr/>
    <w:sdtContent>
      <w:p w14:paraId="1A89D4F0" w14:textId="77777777" w:rsidR="006436B1" w:rsidRDefault="006436B1">
        <w:pPr>
          <w:pStyle w:val="Nagwek"/>
          <w:jc w:val="right"/>
        </w:pPr>
      </w:p>
      <w:p w14:paraId="07111B7D" w14:textId="19C33AE2" w:rsidR="00127C2A" w:rsidRDefault="00127C2A">
        <w:pPr>
          <w:pStyle w:val="Nagwek"/>
          <w:jc w:val="right"/>
        </w:pPr>
        <w:r>
          <w:fldChar w:fldCharType="begin"/>
        </w:r>
        <w:r>
          <w:instrText>PAGE   \* MERGEFORMAT</w:instrText>
        </w:r>
        <w:r>
          <w:fldChar w:fldCharType="separate"/>
        </w:r>
        <w:r w:rsidR="00DA12DF">
          <w:rPr>
            <w:noProof/>
          </w:rPr>
          <w:t>1</w:t>
        </w:r>
        <w:r>
          <w:fldChar w:fldCharType="end"/>
        </w:r>
      </w:p>
    </w:sdtContent>
  </w:sdt>
  <w:p w14:paraId="12531AF2" w14:textId="77777777" w:rsidR="007455C6" w:rsidRDefault="007455C6" w:rsidP="00B13F5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CE5"/>
    <w:multiLevelType w:val="hybridMultilevel"/>
    <w:tmpl w:val="114E2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A71728"/>
    <w:multiLevelType w:val="hybridMultilevel"/>
    <w:tmpl w:val="37506B68"/>
    <w:lvl w:ilvl="0" w:tplc="0415000F">
      <w:start w:val="1"/>
      <w:numFmt w:val="decimal"/>
      <w:lvlText w:val="%1."/>
      <w:lvlJc w:val="left"/>
      <w:pPr>
        <w:ind w:left="777" w:hanging="360"/>
      </w:pPr>
      <w:rPr>
        <w:rFont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 w15:restartNumberingAfterBreak="0">
    <w:nsid w:val="1C5F151D"/>
    <w:multiLevelType w:val="hybridMultilevel"/>
    <w:tmpl w:val="60925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A95359"/>
    <w:multiLevelType w:val="hybridMultilevel"/>
    <w:tmpl w:val="2BBAF6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6933E3"/>
    <w:multiLevelType w:val="hybridMultilevel"/>
    <w:tmpl w:val="567ADA8E"/>
    <w:lvl w:ilvl="0" w:tplc="1ACA0B78">
      <w:start w:val="1"/>
      <w:numFmt w:val="decimal"/>
      <w:lvlText w:val="%1."/>
      <w:lvlJc w:val="left"/>
      <w:pPr>
        <w:ind w:left="72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D911FBA"/>
    <w:multiLevelType w:val="hybridMultilevel"/>
    <w:tmpl w:val="AEAEDE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0000EC5"/>
    <w:multiLevelType w:val="hybridMultilevel"/>
    <w:tmpl w:val="FFB4229C"/>
    <w:lvl w:ilvl="0" w:tplc="EA623328">
      <w:numFmt w:val="bullet"/>
      <w:lvlText w:val="•"/>
      <w:lvlJc w:val="left"/>
      <w:pPr>
        <w:ind w:left="1065" w:hanging="705"/>
      </w:pPr>
      <w:rPr>
        <w:rFonts w:ascii="Calibri" w:eastAsia="Calibri"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D73EA3"/>
    <w:multiLevelType w:val="hybridMultilevel"/>
    <w:tmpl w:val="84D67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0D3582"/>
    <w:multiLevelType w:val="hybridMultilevel"/>
    <w:tmpl w:val="E7E4A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9F1D9F"/>
    <w:multiLevelType w:val="hybridMultilevel"/>
    <w:tmpl w:val="253005FE"/>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A5E7F"/>
    <w:multiLevelType w:val="hybridMultilevel"/>
    <w:tmpl w:val="011AAC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644E4B"/>
    <w:multiLevelType w:val="hybridMultilevel"/>
    <w:tmpl w:val="C4F69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8D1490"/>
    <w:multiLevelType w:val="hybridMultilevel"/>
    <w:tmpl w:val="151AC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6544C0C"/>
    <w:multiLevelType w:val="hybridMultilevel"/>
    <w:tmpl w:val="5B821672"/>
    <w:lvl w:ilvl="0" w:tplc="0415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99C25BA"/>
    <w:multiLevelType w:val="hybridMultilevel"/>
    <w:tmpl w:val="2208F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7"/>
  </w:num>
  <w:num w:numId="5">
    <w:abstractNumId w:val="6"/>
  </w:num>
  <w:num w:numId="6">
    <w:abstractNumId w:val="11"/>
  </w:num>
  <w:num w:numId="7">
    <w:abstractNumId w:val="12"/>
  </w:num>
  <w:num w:numId="8">
    <w:abstractNumId w:val="4"/>
  </w:num>
  <w:num w:numId="9">
    <w:abstractNumId w:val="8"/>
  </w:num>
  <w:num w:numId="10">
    <w:abstractNumId w:val="2"/>
  </w:num>
  <w:num w:numId="11">
    <w:abstractNumId w:val="3"/>
  </w:num>
  <w:num w:numId="12">
    <w:abstractNumId w:val="10"/>
  </w:num>
  <w:num w:numId="13">
    <w:abstractNumId w:val="13"/>
  </w:num>
  <w:num w:numId="14">
    <w:abstractNumId w:val="9"/>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1712E"/>
    <w:rsid w:val="0002155C"/>
    <w:rsid w:val="00021FCF"/>
    <w:rsid w:val="0003269D"/>
    <w:rsid w:val="00036473"/>
    <w:rsid w:val="00046A5C"/>
    <w:rsid w:val="00047A6C"/>
    <w:rsid w:val="00047E43"/>
    <w:rsid w:val="00047FBA"/>
    <w:rsid w:val="00050251"/>
    <w:rsid w:val="000504B5"/>
    <w:rsid w:val="0005465E"/>
    <w:rsid w:val="000607D1"/>
    <w:rsid w:val="000609A1"/>
    <w:rsid w:val="00073D3B"/>
    <w:rsid w:val="00081192"/>
    <w:rsid w:val="00094A1C"/>
    <w:rsid w:val="0009519C"/>
    <w:rsid w:val="000A65AC"/>
    <w:rsid w:val="000B35BF"/>
    <w:rsid w:val="000D77D9"/>
    <w:rsid w:val="000E321E"/>
    <w:rsid w:val="000F3C73"/>
    <w:rsid w:val="000F4FB6"/>
    <w:rsid w:val="000F510D"/>
    <w:rsid w:val="00100746"/>
    <w:rsid w:val="00100C7C"/>
    <w:rsid w:val="00107D1A"/>
    <w:rsid w:val="0011418D"/>
    <w:rsid w:val="00120AC3"/>
    <w:rsid w:val="00127C2A"/>
    <w:rsid w:val="001305A4"/>
    <w:rsid w:val="00131543"/>
    <w:rsid w:val="00133844"/>
    <w:rsid w:val="00133A62"/>
    <w:rsid w:val="00150DCD"/>
    <w:rsid w:val="00152FF5"/>
    <w:rsid w:val="0016175A"/>
    <w:rsid w:val="0017040F"/>
    <w:rsid w:val="00170E7E"/>
    <w:rsid w:val="001712A1"/>
    <w:rsid w:val="001732F8"/>
    <w:rsid w:val="001767C8"/>
    <w:rsid w:val="001913B3"/>
    <w:rsid w:val="00195724"/>
    <w:rsid w:val="001C4F11"/>
    <w:rsid w:val="001E0533"/>
    <w:rsid w:val="001F2AE6"/>
    <w:rsid w:val="001F31B4"/>
    <w:rsid w:val="00210CF1"/>
    <w:rsid w:val="0021141E"/>
    <w:rsid w:val="0021728D"/>
    <w:rsid w:val="00224D8A"/>
    <w:rsid w:val="0022566C"/>
    <w:rsid w:val="00232FB4"/>
    <w:rsid w:val="002424D9"/>
    <w:rsid w:val="002506BD"/>
    <w:rsid w:val="00254D93"/>
    <w:rsid w:val="00255C24"/>
    <w:rsid w:val="00256C6B"/>
    <w:rsid w:val="00273DAF"/>
    <w:rsid w:val="0029040B"/>
    <w:rsid w:val="002A0973"/>
    <w:rsid w:val="002A2B25"/>
    <w:rsid w:val="002A5545"/>
    <w:rsid w:val="002B6948"/>
    <w:rsid w:val="002C6657"/>
    <w:rsid w:val="002D12AB"/>
    <w:rsid w:val="002D4C95"/>
    <w:rsid w:val="002E5860"/>
    <w:rsid w:val="002F7BEC"/>
    <w:rsid w:val="003063DA"/>
    <w:rsid w:val="00310A3E"/>
    <w:rsid w:val="00315306"/>
    <w:rsid w:val="003162E0"/>
    <w:rsid w:val="00334508"/>
    <w:rsid w:val="00360CB9"/>
    <w:rsid w:val="003742EB"/>
    <w:rsid w:val="003758E9"/>
    <w:rsid w:val="00383FB4"/>
    <w:rsid w:val="0039674C"/>
    <w:rsid w:val="003A4EBD"/>
    <w:rsid w:val="003B644B"/>
    <w:rsid w:val="003B6A28"/>
    <w:rsid w:val="003C1831"/>
    <w:rsid w:val="003C18AB"/>
    <w:rsid w:val="003C6290"/>
    <w:rsid w:val="003E42DD"/>
    <w:rsid w:val="003E7C9F"/>
    <w:rsid w:val="003F25A4"/>
    <w:rsid w:val="003F2F22"/>
    <w:rsid w:val="003F36C6"/>
    <w:rsid w:val="004011CF"/>
    <w:rsid w:val="00405963"/>
    <w:rsid w:val="00423454"/>
    <w:rsid w:val="0043097D"/>
    <w:rsid w:val="00431DE0"/>
    <w:rsid w:val="00437F7F"/>
    <w:rsid w:val="00440B16"/>
    <w:rsid w:val="00447D76"/>
    <w:rsid w:val="00453153"/>
    <w:rsid w:val="0046149F"/>
    <w:rsid w:val="00475315"/>
    <w:rsid w:val="004902A6"/>
    <w:rsid w:val="004A062B"/>
    <w:rsid w:val="004A7153"/>
    <w:rsid w:val="004B4702"/>
    <w:rsid w:val="004C3FEE"/>
    <w:rsid w:val="004C4799"/>
    <w:rsid w:val="004C70F8"/>
    <w:rsid w:val="004E7E44"/>
    <w:rsid w:val="004F6A30"/>
    <w:rsid w:val="005033B8"/>
    <w:rsid w:val="00505AA1"/>
    <w:rsid w:val="005201CE"/>
    <w:rsid w:val="00527769"/>
    <w:rsid w:val="00531085"/>
    <w:rsid w:val="0054658C"/>
    <w:rsid w:val="00552657"/>
    <w:rsid w:val="005546A3"/>
    <w:rsid w:val="00555BF7"/>
    <w:rsid w:val="00560CEE"/>
    <w:rsid w:val="00567E8C"/>
    <w:rsid w:val="00587E40"/>
    <w:rsid w:val="00590D85"/>
    <w:rsid w:val="005976FC"/>
    <w:rsid w:val="005A702F"/>
    <w:rsid w:val="005B1EEE"/>
    <w:rsid w:val="005C0194"/>
    <w:rsid w:val="005D3F48"/>
    <w:rsid w:val="005E174B"/>
    <w:rsid w:val="005E7719"/>
    <w:rsid w:val="00604069"/>
    <w:rsid w:val="0062394F"/>
    <w:rsid w:val="00625963"/>
    <w:rsid w:val="0062641B"/>
    <w:rsid w:val="00627AF9"/>
    <w:rsid w:val="00642E93"/>
    <w:rsid w:val="006436B1"/>
    <w:rsid w:val="006455D5"/>
    <w:rsid w:val="00652247"/>
    <w:rsid w:val="00653A5A"/>
    <w:rsid w:val="006659C2"/>
    <w:rsid w:val="00686C5E"/>
    <w:rsid w:val="006A249D"/>
    <w:rsid w:val="006A703B"/>
    <w:rsid w:val="006B10FD"/>
    <w:rsid w:val="006B56F6"/>
    <w:rsid w:val="006C0520"/>
    <w:rsid w:val="006C0806"/>
    <w:rsid w:val="006C163E"/>
    <w:rsid w:val="006E47AB"/>
    <w:rsid w:val="006E5EE3"/>
    <w:rsid w:val="00703F6D"/>
    <w:rsid w:val="00705D6C"/>
    <w:rsid w:val="0070671B"/>
    <w:rsid w:val="0072190F"/>
    <w:rsid w:val="00733525"/>
    <w:rsid w:val="007455C6"/>
    <w:rsid w:val="00750092"/>
    <w:rsid w:val="007660E1"/>
    <w:rsid w:val="00767ED3"/>
    <w:rsid w:val="00780732"/>
    <w:rsid w:val="00784E91"/>
    <w:rsid w:val="007B4F14"/>
    <w:rsid w:val="007C3C4E"/>
    <w:rsid w:val="007C4A2C"/>
    <w:rsid w:val="007D558B"/>
    <w:rsid w:val="007E2403"/>
    <w:rsid w:val="007E2D3B"/>
    <w:rsid w:val="008157B2"/>
    <w:rsid w:val="00817A56"/>
    <w:rsid w:val="00831D98"/>
    <w:rsid w:val="008353EB"/>
    <w:rsid w:val="008456B3"/>
    <w:rsid w:val="0088398B"/>
    <w:rsid w:val="0089112E"/>
    <w:rsid w:val="008A0110"/>
    <w:rsid w:val="008B41DB"/>
    <w:rsid w:val="008B68EF"/>
    <w:rsid w:val="008D52BD"/>
    <w:rsid w:val="008E14E6"/>
    <w:rsid w:val="008E28D2"/>
    <w:rsid w:val="008E760F"/>
    <w:rsid w:val="009115CD"/>
    <w:rsid w:val="00950EE9"/>
    <w:rsid w:val="00956338"/>
    <w:rsid w:val="009564FD"/>
    <w:rsid w:val="00957914"/>
    <w:rsid w:val="00962A9B"/>
    <w:rsid w:val="00964E47"/>
    <w:rsid w:val="00977C67"/>
    <w:rsid w:val="00985201"/>
    <w:rsid w:val="009870D5"/>
    <w:rsid w:val="0098734A"/>
    <w:rsid w:val="009A1118"/>
    <w:rsid w:val="009A2702"/>
    <w:rsid w:val="009B11D0"/>
    <w:rsid w:val="009B2B1E"/>
    <w:rsid w:val="009C0540"/>
    <w:rsid w:val="009C30D2"/>
    <w:rsid w:val="009C6059"/>
    <w:rsid w:val="009D3B4D"/>
    <w:rsid w:val="009E3D07"/>
    <w:rsid w:val="009F069C"/>
    <w:rsid w:val="009F7CC7"/>
    <w:rsid w:val="00A01867"/>
    <w:rsid w:val="00A10A2C"/>
    <w:rsid w:val="00A14DBB"/>
    <w:rsid w:val="00A215FE"/>
    <w:rsid w:val="00A258D2"/>
    <w:rsid w:val="00A3084B"/>
    <w:rsid w:val="00A409CF"/>
    <w:rsid w:val="00A43C9F"/>
    <w:rsid w:val="00A50A9B"/>
    <w:rsid w:val="00A57842"/>
    <w:rsid w:val="00A66C4D"/>
    <w:rsid w:val="00A7584C"/>
    <w:rsid w:val="00A84AFF"/>
    <w:rsid w:val="00A902E6"/>
    <w:rsid w:val="00AA0B87"/>
    <w:rsid w:val="00AA7C03"/>
    <w:rsid w:val="00AC24A0"/>
    <w:rsid w:val="00AC47D8"/>
    <w:rsid w:val="00AC4EE2"/>
    <w:rsid w:val="00AD3B15"/>
    <w:rsid w:val="00AE21B6"/>
    <w:rsid w:val="00AE694C"/>
    <w:rsid w:val="00B0016B"/>
    <w:rsid w:val="00B104C1"/>
    <w:rsid w:val="00B13F55"/>
    <w:rsid w:val="00B171AB"/>
    <w:rsid w:val="00B177B3"/>
    <w:rsid w:val="00B22F0A"/>
    <w:rsid w:val="00B37068"/>
    <w:rsid w:val="00B37924"/>
    <w:rsid w:val="00B5126D"/>
    <w:rsid w:val="00B63D48"/>
    <w:rsid w:val="00B6501E"/>
    <w:rsid w:val="00B76860"/>
    <w:rsid w:val="00B908F9"/>
    <w:rsid w:val="00B9550C"/>
    <w:rsid w:val="00BA18E3"/>
    <w:rsid w:val="00BA3562"/>
    <w:rsid w:val="00BB0DF9"/>
    <w:rsid w:val="00BB72AC"/>
    <w:rsid w:val="00BD076B"/>
    <w:rsid w:val="00BD1A62"/>
    <w:rsid w:val="00BD2064"/>
    <w:rsid w:val="00BE09C4"/>
    <w:rsid w:val="00BE6284"/>
    <w:rsid w:val="00BF2F40"/>
    <w:rsid w:val="00C00869"/>
    <w:rsid w:val="00C1234D"/>
    <w:rsid w:val="00C151B3"/>
    <w:rsid w:val="00C214E2"/>
    <w:rsid w:val="00C24C30"/>
    <w:rsid w:val="00C30C96"/>
    <w:rsid w:val="00C31790"/>
    <w:rsid w:val="00C4104E"/>
    <w:rsid w:val="00C43341"/>
    <w:rsid w:val="00C47BF0"/>
    <w:rsid w:val="00C52244"/>
    <w:rsid w:val="00C563C3"/>
    <w:rsid w:val="00C636C3"/>
    <w:rsid w:val="00C83086"/>
    <w:rsid w:val="00C94270"/>
    <w:rsid w:val="00CA1515"/>
    <w:rsid w:val="00CA7624"/>
    <w:rsid w:val="00CB1140"/>
    <w:rsid w:val="00CC123F"/>
    <w:rsid w:val="00CE1A7A"/>
    <w:rsid w:val="00CE31F7"/>
    <w:rsid w:val="00CE6C85"/>
    <w:rsid w:val="00CF0BEF"/>
    <w:rsid w:val="00D009E0"/>
    <w:rsid w:val="00D21AC6"/>
    <w:rsid w:val="00D32B1D"/>
    <w:rsid w:val="00D34C97"/>
    <w:rsid w:val="00D43726"/>
    <w:rsid w:val="00D5196C"/>
    <w:rsid w:val="00D52B1E"/>
    <w:rsid w:val="00D5477F"/>
    <w:rsid w:val="00D5603E"/>
    <w:rsid w:val="00D64908"/>
    <w:rsid w:val="00D667E9"/>
    <w:rsid w:val="00D75DCB"/>
    <w:rsid w:val="00D773BE"/>
    <w:rsid w:val="00D82272"/>
    <w:rsid w:val="00D857D9"/>
    <w:rsid w:val="00D86E2E"/>
    <w:rsid w:val="00D943E7"/>
    <w:rsid w:val="00D96932"/>
    <w:rsid w:val="00DA0214"/>
    <w:rsid w:val="00DA12DF"/>
    <w:rsid w:val="00DA2538"/>
    <w:rsid w:val="00DA732B"/>
    <w:rsid w:val="00DB32CD"/>
    <w:rsid w:val="00DB5198"/>
    <w:rsid w:val="00DC6A6E"/>
    <w:rsid w:val="00DD39AF"/>
    <w:rsid w:val="00DD50E5"/>
    <w:rsid w:val="00DE32B6"/>
    <w:rsid w:val="00DE3E40"/>
    <w:rsid w:val="00DF78EA"/>
    <w:rsid w:val="00E02097"/>
    <w:rsid w:val="00E07107"/>
    <w:rsid w:val="00E103BD"/>
    <w:rsid w:val="00E1258A"/>
    <w:rsid w:val="00E131CE"/>
    <w:rsid w:val="00E14A2D"/>
    <w:rsid w:val="00E14E54"/>
    <w:rsid w:val="00E1714B"/>
    <w:rsid w:val="00E2586C"/>
    <w:rsid w:val="00E3107C"/>
    <w:rsid w:val="00E32DBC"/>
    <w:rsid w:val="00E47370"/>
    <w:rsid w:val="00E5069E"/>
    <w:rsid w:val="00E72E56"/>
    <w:rsid w:val="00E77639"/>
    <w:rsid w:val="00E77901"/>
    <w:rsid w:val="00E804A1"/>
    <w:rsid w:val="00E807FB"/>
    <w:rsid w:val="00E833BF"/>
    <w:rsid w:val="00E8432F"/>
    <w:rsid w:val="00E863B9"/>
    <w:rsid w:val="00E878B9"/>
    <w:rsid w:val="00E901DD"/>
    <w:rsid w:val="00E97EB5"/>
    <w:rsid w:val="00EA211A"/>
    <w:rsid w:val="00EE0D71"/>
    <w:rsid w:val="00EE32A7"/>
    <w:rsid w:val="00EE650D"/>
    <w:rsid w:val="00F136AF"/>
    <w:rsid w:val="00F25557"/>
    <w:rsid w:val="00F3734C"/>
    <w:rsid w:val="00F406DE"/>
    <w:rsid w:val="00F44190"/>
    <w:rsid w:val="00F565AA"/>
    <w:rsid w:val="00F70815"/>
    <w:rsid w:val="00F70D75"/>
    <w:rsid w:val="00F77D93"/>
    <w:rsid w:val="00F909E0"/>
    <w:rsid w:val="00F90C23"/>
    <w:rsid w:val="00F91883"/>
    <w:rsid w:val="00F928D1"/>
    <w:rsid w:val="00F956E2"/>
    <w:rsid w:val="00FA11DC"/>
    <w:rsid w:val="00FC1ED5"/>
    <w:rsid w:val="00FC3B53"/>
    <w:rsid w:val="00FD1679"/>
    <w:rsid w:val="00FD4EC0"/>
    <w:rsid w:val="00FD6E59"/>
    <w:rsid w:val="00FE7C29"/>
    <w:rsid w:val="00FF7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9CF124"/>
  <w15:docId w15:val="{E1C8D4F2-E382-4011-9C89-7DD0234B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E40"/>
  </w:style>
  <w:style w:type="paragraph" w:styleId="Nagwek1">
    <w:name w:val="heading 1"/>
    <w:basedOn w:val="Normalny"/>
    <w:next w:val="Normalny"/>
    <w:link w:val="Nagwek1Znak"/>
    <w:uiPriority w:val="9"/>
    <w:qFormat/>
    <w:rsid w:val="005C01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27C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Times 10 Point"/>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aliases w:val="Znak, Znak"/>
    <w:basedOn w:val="Normalny"/>
    <w:link w:val="TekstkomentarzaZnak"/>
    <w:uiPriority w:val="99"/>
    <w:unhideWhenUsed/>
    <w:qFormat/>
    <w:rsid w:val="00703F6D"/>
    <w:rPr>
      <w:rFonts w:ascii="Calibri" w:eastAsia="Calibri"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qFormat/>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1712E"/>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1712E"/>
    <w:rPr>
      <w:rFonts w:ascii="Calibri" w:eastAsia="Calibri" w:hAnsi="Calibri" w:cs="Times New Roman"/>
      <w:b/>
      <w:bCs/>
      <w:sz w:val="20"/>
      <w:szCs w:val="20"/>
    </w:rPr>
  </w:style>
  <w:style w:type="paragraph" w:styleId="Zwykytekst">
    <w:name w:val="Plain Text"/>
    <w:basedOn w:val="Normalny"/>
    <w:link w:val="ZwykytekstZnak"/>
    <w:uiPriority w:val="99"/>
    <w:unhideWhenUsed/>
    <w:rsid w:val="00F956E2"/>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F956E2"/>
    <w:rPr>
      <w:rFonts w:ascii="Consolas" w:hAnsi="Consolas" w:cs="Consolas"/>
      <w:sz w:val="21"/>
      <w:szCs w:val="21"/>
    </w:rPr>
  </w:style>
  <w:style w:type="paragraph" w:customStyle="1" w:styleId="Default">
    <w:name w:val="Default"/>
    <w:rsid w:val="007660E1"/>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6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27C2A"/>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5C01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734">
      <w:bodyDiv w:val="1"/>
      <w:marLeft w:val="0"/>
      <w:marRight w:val="0"/>
      <w:marTop w:val="0"/>
      <w:marBottom w:val="0"/>
      <w:divBdr>
        <w:top w:val="none" w:sz="0" w:space="0" w:color="auto"/>
        <w:left w:val="none" w:sz="0" w:space="0" w:color="auto"/>
        <w:bottom w:val="none" w:sz="0" w:space="0" w:color="auto"/>
        <w:right w:val="none" w:sz="0" w:space="0" w:color="auto"/>
      </w:divBdr>
    </w:div>
    <w:div w:id="282005328">
      <w:bodyDiv w:val="1"/>
      <w:marLeft w:val="0"/>
      <w:marRight w:val="0"/>
      <w:marTop w:val="0"/>
      <w:marBottom w:val="0"/>
      <w:divBdr>
        <w:top w:val="none" w:sz="0" w:space="0" w:color="auto"/>
        <w:left w:val="none" w:sz="0" w:space="0" w:color="auto"/>
        <w:bottom w:val="none" w:sz="0" w:space="0" w:color="auto"/>
        <w:right w:val="none" w:sz="0" w:space="0" w:color="auto"/>
      </w:divBdr>
    </w:div>
    <w:div w:id="287594509">
      <w:bodyDiv w:val="1"/>
      <w:marLeft w:val="0"/>
      <w:marRight w:val="0"/>
      <w:marTop w:val="0"/>
      <w:marBottom w:val="0"/>
      <w:divBdr>
        <w:top w:val="none" w:sz="0" w:space="0" w:color="auto"/>
        <w:left w:val="none" w:sz="0" w:space="0" w:color="auto"/>
        <w:bottom w:val="none" w:sz="0" w:space="0" w:color="auto"/>
        <w:right w:val="none" w:sz="0" w:space="0" w:color="auto"/>
      </w:divBdr>
    </w:div>
    <w:div w:id="366564214">
      <w:bodyDiv w:val="1"/>
      <w:marLeft w:val="0"/>
      <w:marRight w:val="0"/>
      <w:marTop w:val="0"/>
      <w:marBottom w:val="0"/>
      <w:divBdr>
        <w:top w:val="none" w:sz="0" w:space="0" w:color="auto"/>
        <w:left w:val="none" w:sz="0" w:space="0" w:color="auto"/>
        <w:bottom w:val="none" w:sz="0" w:space="0" w:color="auto"/>
        <w:right w:val="none" w:sz="0" w:space="0" w:color="auto"/>
      </w:divBdr>
    </w:div>
    <w:div w:id="479420158">
      <w:bodyDiv w:val="1"/>
      <w:marLeft w:val="0"/>
      <w:marRight w:val="0"/>
      <w:marTop w:val="0"/>
      <w:marBottom w:val="0"/>
      <w:divBdr>
        <w:top w:val="none" w:sz="0" w:space="0" w:color="auto"/>
        <w:left w:val="none" w:sz="0" w:space="0" w:color="auto"/>
        <w:bottom w:val="none" w:sz="0" w:space="0" w:color="auto"/>
        <w:right w:val="none" w:sz="0" w:space="0" w:color="auto"/>
      </w:divBdr>
    </w:div>
    <w:div w:id="548107011">
      <w:bodyDiv w:val="1"/>
      <w:marLeft w:val="0"/>
      <w:marRight w:val="0"/>
      <w:marTop w:val="0"/>
      <w:marBottom w:val="0"/>
      <w:divBdr>
        <w:top w:val="none" w:sz="0" w:space="0" w:color="auto"/>
        <w:left w:val="none" w:sz="0" w:space="0" w:color="auto"/>
        <w:bottom w:val="none" w:sz="0" w:space="0" w:color="auto"/>
        <w:right w:val="none" w:sz="0" w:space="0" w:color="auto"/>
      </w:divBdr>
    </w:div>
    <w:div w:id="558175727">
      <w:bodyDiv w:val="1"/>
      <w:marLeft w:val="0"/>
      <w:marRight w:val="0"/>
      <w:marTop w:val="0"/>
      <w:marBottom w:val="0"/>
      <w:divBdr>
        <w:top w:val="none" w:sz="0" w:space="0" w:color="auto"/>
        <w:left w:val="none" w:sz="0" w:space="0" w:color="auto"/>
        <w:bottom w:val="none" w:sz="0" w:space="0" w:color="auto"/>
        <w:right w:val="none" w:sz="0" w:space="0" w:color="auto"/>
      </w:divBdr>
    </w:div>
    <w:div w:id="628512214">
      <w:bodyDiv w:val="1"/>
      <w:marLeft w:val="0"/>
      <w:marRight w:val="0"/>
      <w:marTop w:val="0"/>
      <w:marBottom w:val="0"/>
      <w:divBdr>
        <w:top w:val="none" w:sz="0" w:space="0" w:color="auto"/>
        <w:left w:val="none" w:sz="0" w:space="0" w:color="auto"/>
        <w:bottom w:val="none" w:sz="0" w:space="0" w:color="auto"/>
        <w:right w:val="none" w:sz="0" w:space="0" w:color="auto"/>
      </w:divBdr>
    </w:div>
    <w:div w:id="640235927">
      <w:bodyDiv w:val="1"/>
      <w:marLeft w:val="0"/>
      <w:marRight w:val="0"/>
      <w:marTop w:val="0"/>
      <w:marBottom w:val="0"/>
      <w:divBdr>
        <w:top w:val="none" w:sz="0" w:space="0" w:color="auto"/>
        <w:left w:val="none" w:sz="0" w:space="0" w:color="auto"/>
        <w:bottom w:val="none" w:sz="0" w:space="0" w:color="auto"/>
        <w:right w:val="none" w:sz="0" w:space="0" w:color="auto"/>
      </w:divBdr>
    </w:div>
    <w:div w:id="679089182">
      <w:bodyDiv w:val="1"/>
      <w:marLeft w:val="0"/>
      <w:marRight w:val="0"/>
      <w:marTop w:val="0"/>
      <w:marBottom w:val="0"/>
      <w:divBdr>
        <w:top w:val="none" w:sz="0" w:space="0" w:color="auto"/>
        <w:left w:val="none" w:sz="0" w:space="0" w:color="auto"/>
        <w:bottom w:val="none" w:sz="0" w:space="0" w:color="auto"/>
        <w:right w:val="none" w:sz="0" w:space="0" w:color="auto"/>
      </w:divBdr>
    </w:div>
    <w:div w:id="732198369">
      <w:bodyDiv w:val="1"/>
      <w:marLeft w:val="0"/>
      <w:marRight w:val="0"/>
      <w:marTop w:val="0"/>
      <w:marBottom w:val="0"/>
      <w:divBdr>
        <w:top w:val="none" w:sz="0" w:space="0" w:color="auto"/>
        <w:left w:val="none" w:sz="0" w:space="0" w:color="auto"/>
        <w:bottom w:val="none" w:sz="0" w:space="0" w:color="auto"/>
        <w:right w:val="none" w:sz="0" w:space="0" w:color="auto"/>
      </w:divBdr>
    </w:div>
    <w:div w:id="843130010">
      <w:bodyDiv w:val="1"/>
      <w:marLeft w:val="0"/>
      <w:marRight w:val="0"/>
      <w:marTop w:val="0"/>
      <w:marBottom w:val="0"/>
      <w:divBdr>
        <w:top w:val="none" w:sz="0" w:space="0" w:color="auto"/>
        <w:left w:val="none" w:sz="0" w:space="0" w:color="auto"/>
        <w:bottom w:val="none" w:sz="0" w:space="0" w:color="auto"/>
        <w:right w:val="none" w:sz="0" w:space="0" w:color="auto"/>
      </w:divBdr>
    </w:div>
    <w:div w:id="1017386101">
      <w:bodyDiv w:val="1"/>
      <w:marLeft w:val="0"/>
      <w:marRight w:val="0"/>
      <w:marTop w:val="0"/>
      <w:marBottom w:val="0"/>
      <w:divBdr>
        <w:top w:val="none" w:sz="0" w:space="0" w:color="auto"/>
        <w:left w:val="none" w:sz="0" w:space="0" w:color="auto"/>
        <w:bottom w:val="none" w:sz="0" w:space="0" w:color="auto"/>
        <w:right w:val="none" w:sz="0" w:space="0" w:color="auto"/>
      </w:divBdr>
    </w:div>
    <w:div w:id="1113399458">
      <w:bodyDiv w:val="1"/>
      <w:marLeft w:val="0"/>
      <w:marRight w:val="0"/>
      <w:marTop w:val="0"/>
      <w:marBottom w:val="0"/>
      <w:divBdr>
        <w:top w:val="none" w:sz="0" w:space="0" w:color="auto"/>
        <w:left w:val="none" w:sz="0" w:space="0" w:color="auto"/>
        <w:bottom w:val="none" w:sz="0" w:space="0" w:color="auto"/>
        <w:right w:val="none" w:sz="0" w:space="0" w:color="auto"/>
      </w:divBdr>
    </w:div>
    <w:div w:id="1168717364">
      <w:bodyDiv w:val="1"/>
      <w:marLeft w:val="0"/>
      <w:marRight w:val="0"/>
      <w:marTop w:val="0"/>
      <w:marBottom w:val="0"/>
      <w:divBdr>
        <w:top w:val="none" w:sz="0" w:space="0" w:color="auto"/>
        <w:left w:val="none" w:sz="0" w:space="0" w:color="auto"/>
        <w:bottom w:val="none" w:sz="0" w:space="0" w:color="auto"/>
        <w:right w:val="none" w:sz="0" w:space="0" w:color="auto"/>
      </w:divBdr>
    </w:div>
    <w:div w:id="1786265761">
      <w:bodyDiv w:val="1"/>
      <w:marLeft w:val="0"/>
      <w:marRight w:val="0"/>
      <w:marTop w:val="0"/>
      <w:marBottom w:val="0"/>
      <w:divBdr>
        <w:top w:val="none" w:sz="0" w:space="0" w:color="auto"/>
        <w:left w:val="none" w:sz="0" w:space="0" w:color="auto"/>
        <w:bottom w:val="none" w:sz="0" w:space="0" w:color="auto"/>
        <w:right w:val="none" w:sz="0" w:space="0" w:color="auto"/>
      </w:divBdr>
    </w:div>
    <w:div w:id="1814982050">
      <w:bodyDiv w:val="1"/>
      <w:marLeft w:val="0"/>
      <w:marRight w:val="0"/>
      <w:marTop w:val="0"/>
      <w:marBottom w:val="0"/>
      <w:divBdr>
        <w:top w:val="none" w:sz="0" w:space="0" w:color="auto"/>
        <w:left w:val="none" w:sz="0" w:space="0" w:color="auto"/>
        <w:bottom w:val="none" w:sz="0" w:space="0" w:color="auto"/>
        <w:right w:val="none" w:sz="0" w:space="0" w:color="auto"/>
      </w:divBdr>
    </w:div>
    <w:div w:id="1833178766">
      <w:bodyDiv w:val="1"/>
      <w:marLeft w:val="0"/>
      <w:marRight w:val="0"/>
      <w:marTop w:val="0"/>
      <w:marBottom w:val="0"/>
      <w:divBdr>
        <w:top w:val="none" w:sz="0" w:space="0" w:color="auto"/>
        <w:left w:val="none" w:sz="0" w:space="0" w:color="auto"/>
        <w:bottom w:val="none" w:sz="0" w:space="0" w:color="auto"/>
        <w:right w:val="none" w:sz="0" w:space="0" w:color="auto"/>
      </w:divBdr>
    </w:div>
    <w:div w:id="1927491986">
      <w:bodyDiv w:val="1"/>
      <w:marLeft w:val="0"/>
      <w:marRight w:val="0"/>
      <w:marTop w:val="0"/>
      <w:marBottom w:val="0"/>
      <w:divBdr>
        <w:top w:val="none" w:sz="0" w:space="0" w:color="auto"/>
        <w:left w:val="none" w:sz="0" w:space="0" w:color="auto"/>
        <w:bottom w:val="none" w:sz="0" w:space="0" w:color="auto"/>
        <w:right w:val="none" w:sz="0" w:space="0" w:color="auto"/>
      </w:divBdr>
    </w:div>
    <w:div w:id="19506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3849-383A-41C1-8D07-2D96A8D8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8 Kryteria zatwierdzone przez KM</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8 Kryteria zatwierdzone przez KM</dc:title>
  <dc:subject>Akademia Menadżera MMŚP - kompetencje w zakresie cyfryzacji</dc:subject>
  <dc:creator>Sybicki Łukasz</dc:creator>
  <cp:keywords>PL, PARP</cp:keywords>
  <cp:lastModifiedBy>Anna Smoczyńska</cp:lastModifiedBy>
  <cp:revision>4</cp:revision>
  <cp:lastPrinted>2019-12-03T06:46:00Z</cp:lastPrinted>
  <dcterms:created xsi:type="dcterms:W3CDTF">2021-05-24T08:05:00Z</dcterms:created>
  <dcterms:modified xsi:type="dcterms:W3CDTF">2021-05-24T09:12:00Z</dcterms:modified>
</cp:coreProperties>
</file>